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6D6BC" w14:textId="5207CC73" w:rsidR="00D77230" w:rsidRDefault="003635B9" w:rsidP="003635B9">
      <w:pPr>
        <w:spacing w:after="0" w:line="259" w:lineRule="auto"/>
        <w:ind w:left="0" w:firstLine="0"/>
        <w:jc w:val="center"/>
      </w:pPr>
      <w:r>
        <w:rPr>
          <w:noProof/>
        </w:rPr>
        <w:drawing>
          <wp:inline distT="0" distB="0" distL="0" distR="0" wp14:anchorId="103B27BB" wp14:editId="486FDD24">
            <wp:extent cx="3463200" cy="810000"/>
            <wp:effectExtent l="0" t="0" r="4445" b="9525"/>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3200" cy="810000"/>
                    </a:xfrm>
                    <a:prstGeom prst="rect">
                      <a:avLst/>
                    </a:prstGeom>
                    <a:noFill/>
                    <a:ln>
                      <a:noFill/>
                    </a:ln>
                  </pic:spPr>
                </pic:pic>
              </a:graphicData>
            </a:graphic>
          </wp:inline>
        </w:drawing>
      </w:r>
    </w:p>
    <w:p w14:paraId="77C894B4" w14:textId="6A29E5DC" w:rsidR="00D77230" w:rsidRDefault="00E80702">
      <w:pPr>
        <w:spacing w:after="0" w:line="236" w:lineRule="auto"/>
        <w:ind w:left="0" w:firstLine="0"/>
      </w:pPr>
      <w:r>
        <w:rPr>
          <w:rFonts w:ascii="Tw Cen MT" w:eastAsia="Tw Cen MT" w:hAnsi="Tw Cen MT" w:cs="Tw Cen MT"/>
          <w:b/>
          <w:sz w:val="52"/>
        </w:rPr>
        <w:t xml:space="preserve">Guidance on Policies Required for ATHE Centre Recognition </w:t>
      </w:r>
    </w:p>
    <w:p w14:paraId="64FDB63F" w14:textId="77777777" w:rsidR="00D77230" w:rsidRDefault="00E80702">
      <w:pPr>
        <w:spacing w:after="132" w:line="259" w:lineRule="auto"/>
        <w:ind w:left="-29" w:right="-31" w:firstLine="0"/>
      </w:pPr>
      <w:r>
        <w:rPr>
          <w:rFonts w:ascii="Calibri" w:eastAsia="Calibri" w:hAnsi="Calibri" w:cs="Calibri"/>
          <w:noProof/>
        </w:rPr>
        <mc:AlternateContent>
          <mc:Choice Requires="wpg">
            <w:drawing>
              <wp:inline distT="0" distB="0" distL="0" distR="0" wp14:anchorId="37724C6E" wp14:editId="36EAE536">
                <wp:extent cx="5963158" cy="12192"/>
                <wp:effectExtent l="0" t="0" r="0" b="0"/>
                <wp:docPr id="8547" name="Group 8547"/>
                <wp:cNvGraphicFramePr/>
                <a:graphic xmlns:a="http://schemas.openxmlformats.org/drawingml/2006/main">
                  <a:graphicData uri="http://schemas.microsoft.com/office/word/2010/wordprocessingGroup">
                    <wpg:wgp>
                      <wpg:cNvGrpSpPr/>
                      <wpg:grpSpPr>
                        <a:xfrm>
                          <a:off x="0" y="0"/>
                          <a:ext cx="5963158" cy="12192"/>
                          <a:chOff x="0" y="0"/>
                          <a:chExt cx="5963158" cy="12192"/>
                        </a:xfrm>
                      </wpg:grpSpPr>
                      <wps:wsp>
                        <wps:cNvPr id="10672" name="Shape 10672"/>
                        <wps:cNvSpPr/>
                        <wps:spPr>
                          <a:xfrm>
                            <a:off x="0" y="0"/>
                            <a:ext cx="5963158" cy="12192"/>
                          </a:xfrm>
                          <a:custGeom>
                            <a:avLst/>
                            <a:gdLst/>
                            <a:ahLst/>
                            <a:cxnLst/>
                            <a:rect l="0" t="0" r="0" b="0"/>
                            <a:pathLst>
                              <a:path w="5963158" h="12192">
                                <a:moveTo>
                                  <a:pt x="0" y="0"/>
                                </a:moveTo>
                                <a:lnTo>
                                  <a:pt x="5963158" y="0"/>
                                </a:lnTo>
                                <a:lnTo>
                                  <a:pt x="596315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547" style="width:469.54pt;height:0.959961pt;mso-position-horizontal-relative:char;mso-position-vertical-relative:line" coordsize="59631,121">
                <v:shape id="Shape 10673" style="position:absolute;width:59631;height:121;left:0;top:0;" coordsize="5963158,12192" path="m0,0l5963158,0l5963158,12192l0,12192l0,0">
                  <v:stroke weight="0pt" endcap="flat" joinstyle="miter" miterlimit="10" on="false" color="#000000" opacity="0"/>
                  <v:fill on="true" color="#000000"/>
                </v:shape>
              </v:group>
            </w:pict>
          </mc:Fallback>
        </mc:AlternateContent>
      </w:r>
    </w:p>
    <w:p w14:paraId="74458EA3" w14:textId="77777777" w:rsidR="00D77230" w:rsidRDefault="00E80702">
      <w:pPr>
        <w:spacing w:after="223" w:line="259" w:lineRule="auto"/>
        <w:ind w:left="0" w:firstLine="0"/>
      </w:pPr>
      <w:r>
        <w:rPr>
          <w:b/>
          <w:sz w:val="28"/>
        </w:rPr>
        <w:t xml:space="preserve"> </w:t>
      </w:r>
    </w:p>
    <w:p w14:paraId="2B7DF7CE" w14:textId="70D84A50" w:rsidR="00D77230" w:rsidRDefault="00E80702">
      <w:pPr>
        <w:pStyle w:val="Heading1"/>
      </w:pPr>
      <w:r>
        <w:t xml:space="preserve">Guidance for applicants </w:t>
      </w:r>
      <w:r w:rsidR="00901A34">
        <w:t>seeking centre recognition</w:t>
      </w:r>
    </w:p>
    <w:p w14:paraId="1A986597" w14:textId="47377FA2" w:rsidR="00D77230" w:rsidRDefault="00E80702">
      <w:r>
        <w:t xml:space="preserve">As an ATHE Centre you are required to have policies, procedures and certain documents in place to meet the ATHE </w:t>
      </w:r>
      <w:r w:rsidR="00FC67C8">
        <w:t xml:space="preserve">Centre Recognition Quality </w:t>
      </w:r>
      <w:proofErr w:type="gramStart"/>
      <w:r w:rsidR="00FC67C8">
        <w:t>Assurance  (</w:t>
      </w:r>
      <w:proofErr w:type="gramEnd"/>
      <w:r w:rsidR="00FC67C8">
        <w:t>CRQA)</w:t>
      </w:r>
      <w:r w:rsidR="00445E55">
        <w:t xml:space="preserve"> </w:t>
      </w:r>
      <w:r>
        <w:t>requirements</w:t>
      </w:r>
      <w:r w:rsidR="00550EBB">
        <w:t xml:space="preserve">. </w:t>
      </w:r>
      <w:r w:rsidR="00B523E8">
        <w:t xml:space="preserve">This document provides guidance on the nature of this documentation and what is required at the </w:t>
      </w:r>
      <w:r w:rsidR="00FC67C8">
        <w:t>CRQA</w:t>
      </w:r>
      <w:r w:rsidR="00445E55">
        <w:t xml:space="preserve"> </w:t>
      </w:r>
      <w:r w:rsidR="00B523E8">
        <w:t>and subsequent</w:t>
      </w:r>
      <w:r w:rsidR="00445E55">
        <w:t xml:space="preserve"> </w:t>
      </w:r>
      <w:r w:rsidR="00FC67C8">
        <w:t>reviews.</w:t>
      </w:r>
      <w:r w:rsidR="00B523E8">
        <w:t xml:space="preserve"> </w:t>
      </w:r>
      <w:r w:rsidR="00550EBB">
        <w:t xml:space="preserve"> </w:t>
      </w:r>
    </w:p>
    <w:p w14:paraId="6218CFBC" w14:textId="5FF9A0B3" w:rsidR="004D5405" w:rsidRDefault="004D5405"/>
    <w:p w14:paraId="02056B91" w14:textId="77777777" w:rsidR="00445E55" w:rsidRDefault="004D5405" w:rsidP="00445E55">
      <w:pPr>
        <w:spacing w:after="0" w:line="240" w:lineRule="auto"/>
        <w:contextualSpacing/>
        <w:rPr>
          <w:rFonts w:eastAsiaTheme="minorEastAsia"/>
          <w:color w:val="404040" w:themeColor="text1" w:themeTint="BF"/>
          <w:kern w:val="24"/>
        </w:rPr>
      </w:pPr>
      <w:r w:rsidRPr="004D5405">
        <w:rPr>
          <w:rFonts w:eastAsiaTheme="minorEastAsia"/>
          <w:color w:val="404040" w:themeColor="text1" w:themeTint="BF"/>
          <w:kern w:val="24"/>
        </w:rPr>
        <w:t>The purpose of the CRQA is to ascertain whether a centre is able to deliver, assess and quality assure ATHE qualifications to the required standards. An External Quality Assurer (EQA) will conduct a check to ensure that a centre has the appropriate resources and processes in place and will ask to see a range of evidence related to the centres policies and procedures</w:t>
      </w:r>
      <w:r w:rsidR="00445E55">
        <w:rPr>
          <w:rFonts w:eastAsiaTheme="minorEastAsia"/>
          <w:color w:val="404040" w:themeColor="text1" w:themeTint="BF"/>
          <w:kern w:val="24"/>
        </w:rPr>
        <w:t>.</w:t>
      </w:r>
    </w:p>
    <w:p w14:paraId="2B03ADC2" w14:textId="77777777" w:rsidR="00445E55" w:rsidRDefault="00445E55" w:rsidP="00445E55">
      <w:pPr>
        <w:spacing w:after="47" w:line="259" w:lineRule="auto"/>
        <w:ind w:left="0" w:firstLine="0"/>
        <w:rPr>
          <w:rFonts w:eastAsiaTheme="minorEastAsia"/>
          <w:color w:val="404040" w:themeColor="text1" w:themeTint="BF"/>
          <w:kern w:val="24"/>
        </w:rPr>
      </w:pPr>
    </w:p>
    <w:p w14:paraId="784B5542" w14:textId="6788E397" w:rsidR="00D77230" w:rsidRDefault="00E80702" w:rsidP="00445E55">
      <w:pPr>
        <w:spacing w:after="47" w:line="259" w:lineRule="auto"/>
        <w:ind w:left="0" w:firstLine="0"/>
      </w:pPr>
      <w:r>
        <w:t>You must develop your own polic</w:t>
      </w:r>
      <w:r w:rsidR="00550EBB">
        <w:t>i</w:t>
      </w:r>
      <w:r>
        <w:t xml:space="preserve">es </w:t>
      </w:r>
      <w:r w:rsidR="00284146">
        <w:t>and procedures</w:t>
      </w:r>
      <w:r w:rsidR="000F736C">
        <w:t>,</w:t>
      </w:r>
      <w:r w:rsidR="00284146">
        <w:t xml:space="preserve"> which meet the needs of your centre </w:t>
      </w:r>
      <w:r>
        <w:t xml:space="preserve">and as such </w:t>
      </w:r>
      <w:r w:rsidR="00445E55">
        <w:t xml:space="preserve">you </w:t>
      </w:r>
      <w:r>
        <w:t xml:space="preserve">‘own’ them. You must ensure that staff and learners </w:t>
      </w:r>
      <w:r w:rsidR="00E63171">
        <w:t xml:space="preserve">understand </w:t>
      </w:r>
      <w:r>
        <w:t>their content and the processes involved</w:t>
      </w:r>
      <w:r w:rsidR="00284146">
        <w:t>, so that policies are embedded in actual practice.</w:t>
      </w:r>
      <w:r>
        <w:t xml:space="preserve">  </w:t>
      </w:r>
    </w:p>
    <w:p w14:paraId="7D12BFDB" w14:textId="77777777" w:rsidR="00D77230" w:rsidRDefault="00E80702">
      <w:pPr>
        <w:spacing w:after="19" w:line="259" w:lineRule="auto"/>
        <w:ind w:left="0" w:firstLine="0"/>
      </w:pPr>
      <w:r>
        <w:t xml:space="preserve"> </w:t>
      </w:r>
    </w:p>
    <w:p w14:paraId="3459A6F9" w14:textId="19E3E2C2" w:rsidR="00D77230" w:rsidRDefault="00E80702">
      <w:r>
        <w:t xml:space="preserve">ATHE will check these policies </w:t>
      </w:r>
      <w:r w:rsidR="001B7E8E">
        <w:t xml:space="preserve">and procedures </w:t>
      </w:r>
      <w:r>
        <w:t xml:space="preserve">during the </w:t>
      </w:r>
      <w:r w:rsidR="00FC67C8">
        <w:t>CRQA</w:t>
      </w:r>
      <w:r w:rsidR="00445E55">
        <w:t xml:space="preserve"> </w:t>
      </w:r>
      <w:r>
        <w:t>process</w:t>
      </w:r>
      <w:r w:rsidR="009A20D0">
        <w:t>,</w:t>
      </w:r>
      <w:r w:rsidR="001C7C8C">
        <w:t xml:space="preserve"> and</w:t>
      </w:r>
      <w:r w:rsidR="009A20D0">
        <w:t xml:space="preserve"> how they are being applied</w:t>
      </w:r>
      <w:r>
        <w:t xml:space="preserve"> when Monitoring and Development visits are carried out</w:t>
      </w:r>
      <w:r w:rsidR="001B7E8E">
        <w:t xml:space="preserve">. We </w:t>
      </w:r>
      <w:r>
        <w:t xml:space="preserve">will expect you to review </w:t>
      </w:r>
      <w:r w:rsidR="00B35CE0">
        <w:t>your policies and procedures</w:t>
      </w:r>
      <w:r>
        <w:t xml:space="preserve"> and make appropriate changes and amendments as </w:t>
      </w:r>
      <w:r w:rsidR="009A20D0">
        <w:t xml:space="preserve">and when </w:t>
      </w:r>
      <w:r>
        <w:t>required</w:t>
      </w:r>
      <w:r w:rsidR="00B85FD6">
        <w:t xml:space="preserve"> but at least on an annual basis.</w:t>
      </w:r>
    </w:p>
    <w:p w14:paraId="366419FF" w14:textId="7ADE069D" w:rsidR="00B85FD6" w:rsidRDefault="00B85FD6"/>
    <w:p w14:paraId="2AFE142D" w14:textId="6D47C15C" w:rsidR="00B85FD6" w:rsidRDefault="00B85FD6">
      <w:pPr>
        <w:rPr>
          <w:b/>
          <w:bCs/>
          <w:sz w:val="28"/>
          <w:szCs w:val="28"/>
        </w:rPr>
      </w:pPr>
      <w:r w:rsidRPr="00445E55">
        <w:rPr>
          <w:b/>
          <w:bCs/>
          <w:sz w:val="28"/>
          <w:szCs w:val="28"/>
        </w:rPr>
        <w:t>Policies</w:t>
      </w:r>
    </w:p>
    <w:p w14:paraId="74D1E353" w14:textId="77777777" w:rsidR="009E7970" w:rsidRDefault="009E7970">
      <w:pPr>
        <w:rPr>
          <w:b/>
          <w:bCs/>
          <w:sz w:val="28"/>
          <w:szCs w:val="28"/>
        </w:rPr>
      </w:pPr>
    </w:p>
    <w:p w14:paraId="4679712F" w14:textId="42478762" w:rsidR="009E7970" w:rsidRDefault="009E7970">
      <w:r>
        <w:t>As part of the CRQA review and other subsequent reviews the following policies will be required:</w:t>
      </w:r>
    </w:p>
    <w:p w14:paraId="4D21A466" w14:textId="458DDC7C" w:rsidR="00A404ED" w:rsidRDefault="00A404ED"/>
    <w:p w14:paraId="6E505E08" w14:textId="150D6579" w:rsidR="00A404ED" w:rsidRDefault="00A404ED">
      <w:r>
        <w:t>Appeals Policy</w:t>
      </w:r>
    </w:p>
    <w:p w14:paraId="3DFA90C6" w14:textId="579124A6" w:rsidR="00A404ED" w:rsidRDefault="00A404ED">
      <w:r>
        <w:t>Assessment Policy</w:t>
      </w:r>
    </w:p>
    <w:p w14:paraId="7637D722" w14:textId="61C70A18" w:rsidR="00A404ED" w:rsidRDefault="00A404ED">
      <w:r>
        <w:t>Complaints Policy</w:t>
      </w:r>
    </w:p>
    <w:p w14:paraId="1725A3AC" w14:textId="0C1CE6BE" w:rsidR="00A404ED" w:rsidRDefault="00A404ED">
      <w:r>
        <w:t>Conflict of Interest Policy</w:t>
      </w:r>
    </w:p>
    <w:p w14:paraId="4BCCAF42" w14:textId="52F98550" w:rsidR="00E87858" w:rsidRDefault="00E87858">
      <w:r>
        <w:t>Data Protection Policy</w:t>
      </w:r>
    </w:p>
    <w:p w14:paraId="497C34B7" w14:textId="748A25E0" w:rsidR="00E87858" w:rsidRDefault="00E87858">
      <w:r>
        <w:t>Equality and Diversity Policy</w:t>
      </w:r>
    </w:p>
    <w:p w14:paraId="72DBF10B" w14:textId="76C9CCD6" w:rsidR="00E87858" w:rsidRDefault="00E87858">
      <w:r>
        <w:t>Health and Safety Policy</w:t>
      </w:r>
    </w:p>
    <w:p w14:paraId="6CDC0773" w14:textId="1CE43E36" w:rsidR="00E87858" w:rsidRPr="00445E55" w:rsidRDefault="00E87858" w:rsidP="00E87858">
      <w:pPr>
        <w:pStyle w:val="Heading2"/>
        <w:ind w:left="-5"/>
        <w:rPr>
          <w:b w:val="0"/>
          <w:bCs/>
        </w:rPr>
      </w:pPr>
      <w:r w:rsidRPr="00445E55">
        <w:rPr>
          <w:b w:val="0"/>
          <w:bCs/>
        </w:rPr>
        <w:t>Instructions for Conducting Time Constrained Summative Assessments and Test</w:t>
      </w:r>
      <w:r>
        <w:rPr>
          <w:b w:val="0"/>
          <w:bCs/>
        </w:rPr>
        <w:t>s</w:t>
      </w:r>
      <w:r w:rsidRPr="00445E55">
        <w:rPr>
          <w:b w:val="0"/>
          <w:bCs/>
        </w:rPr>
        <w:t xml:space="preserve"> Policy (if appropriate)   </w:t>
      </w:r>
    </w:p>
    <w:p w14:paraId="6028F025" w14:textId="0AE89068" w:rsidR="00E87858" w:rsidRDefault="00E87858" w:rsidP="00E87858">
      <w:pPr>
        <w:ind w:left="0" w:firstLine="0"/>
      </w:pPr>
      <w:r>
        <w:t>Internal Quality Assurance Policy</w:t>
      </w:r>
    </w:p>
    <w:p w14:paraId="66A1018B" w14:textId="77777777" w:rsidR="00E87858" w:rsidRDefault="00E87858" w:rsidP="00E87858">
      <w:pPr>
        <w:pStyle w:val="Heading2"/>
        <w:ind w:left="-5"/>
      </w:pPr>
      <w:r w:rsidRPr="00445E55">
        <w:rPr>
          <w:b w:val="0"/>
          <w:bCs/>
        </w:rPr>
        <w:t>Malpractice and Maladministration</w:t>
      </w:r>
      <w:r>
        <w:t xml:space="preserve"> </w:t>
      </w:r>
      <w:r w:rsidRPr="00445E55">
        <w:rPr>
          <w:b w:val="0"/>
          <w:bCs/>
        </w:rPr>
        <w:t xml:space="preserve">Policy </w:t>
      </w:r>
    </w:p>
    <w:p w14:paraId="482A983B" w14:textId="421C6998" w:rsidR="00E87858" w:rsidRDefault="00E87858">
      <w:r>
        <w:t xml:space="preserve">Reasonable Adjustments and Special Considerations Policy </w:t>
      </w:r>
    </w:p>
    <w:p w14:paraId="6688D86C" w14:textId="00783969" w:rsidR="00E87858" w:rsidRDefault="00E87858" w:rsidP="00E87858">
      <w:pPr>
        <w:pStyle w:val="Heading2"/>
        <w:ind w:left="-5"/>
        <w:rPr>
          <w:b w:val="0"/>
          <w:bCs/>
        </w:rPr>
      </w:pPr>
      <w:r w:rsidRPr="00445E55">
        <w:rPr>
          <w:b w:val="0"/>
          <w:bCs/>
        </w:rPr>
        <w:lastRenderedPageBreak/>
        <w:t xml:space="preserve">Recognition of Prior Learning Policy (RPL)  </w:t>
      </w:r>
    </w:p>
    <w:p w14:paraId="1F3F2A8B" w14:textId="5FC217FB" w:rsidR="00E87858" w:rsidRPr="00E87858" w:rsidRDefault="00E87858" w:rsidP="00445E55">
      <w:r>
        <w:t>Recruitment of Learners Policy</w:t>
      </w:r>
    </w:p>
    <w:p w14:paraId="570BC1C9" w14:textId="603B546A" w:rsidR="00E87858" w:rsidRDefault="00E87858">
      <w:r>
        <w:t>Resubmissions Policy</w:t>
      </w:r>
    </w:p>
    <w:p w14:paraId="5F224D62" w14:textId="49521DF5" w:rsidR="00E87858" w:rsidRDefault="00E87858">
      <w:r>
        <w:t>Safeguarding Policy</w:t>
      </w:r>
    </w:p>
    <w:p w14:paraId="0CD4F2FF" w14:textId="614E632A" w:rsidR="00A404ED" w:rsidRDefault="00A404ED"/>
    <w:p w14:paraId="211B735E" w14:textId="252226CB" w:rsidR="00A404ED" w:rsidRDefault="00A404ED">
      <w:r>
        <w:t>The following documents will also be required:</w:t>
      </w:r>
    </w:p>
    <w:p w14:paraId="2A36FC0F" w14:textId="77777777" w:rsidR="00F24516" w:rsidRPr="009E7970" w:rsidRDefault="00F24516"/>
    <w:p w14:paraId="1F6D4326" w14:textId="2C4B03E7" w:rsidR="009E7970" w:rsidRDefault="00E87858">
      <w:r>
        <w:t>Curriculum Plans and Schemes of Work</w:t>
      </w:r>
    </w:p>
    <w:p w14:paraId="54E18AB6" w14:textId="6CCBAB7A" w:rsidR="00E87858" w:rsidRDefault="00E87858">
      <w:r>
        <w:t>Lesson Plans</w:t>
      </w:r>
    </w:p>
    <w:p w14:paraId="5C7E45BB" w14:textId="77777777" w:rsidR="00F24516" w:rsidRDefault="00F24516"/>
    <w:p w14:paraId="6A786338" w14:textId="77777777" w:rsidR="009E7970" w:rsidRDefault="009E7970"/>
    <w:p w14:paraId="6E6779F1" w14:textId="1A321802" w:rsidR="00D77230" w:rsidRPr="00445E55" w:rsidRDefault="004D087A">
      <w:pPr>
        <w:spacing w:after="16" w:line="259" w:lineRule="auto"/>
        <w:ind w:left="0" w:firstLine="0"/>
        <w:rPr>
          <w:b/>
          <w:bCs/>
          <w:sz w:val="28"/>
          <w:szCs w:val="28"/>
        </w:rPr>
      </w:pPr>
      <w:r w:rsidRPr="00445E55">
        <w:rPr>
          <w:b/>
          <w:bCs/>
          <w:sz w:val="28"/>
          <w:szCs w:val="28"/>
        </w:rPr>
        <w:t xml:space="preserve">Guidance on policies </w:t>
      </w:r>
      <w:proofErr w:type="gramStart"/>
      <w:r w:rsidRPr="00445E55">
        <w:rPr>
          <w:b/>
          <w:bCs/>
          <w:sz w:val="28"/>
          <w:szCs w:val="28"/>
        </w:rPr>
        <w:t>required</w:t>
      </w:r>
      <w:proofErr w:type="gramEnd"/>
    </w:p>
    <w:p w14:paraId="60EF9243" w14:textId="5D4B48FD" w:rsidR="00430871" w:rsidRDefault="00430871">
      <w:pPr>
        <w:spacing w:after="16" w:line="259" w:lineRule="auto"/>
        <w:ind w:left="0" w:firstLine="0"/>
      </w:pPr>
    </w:p>
    <w:p w14:paraId="33CB0523" w14:textId="77777777" w:rsidR="00430871" w:rsidRDefault="00430871" w:rsidP="00430871">
      <w:pPr>
        <w:pStyle w:val="Heading2"/>
        <w:ind w:left="-5"/>
      </w:pPr>
      <w:r>
        <w:t xml:space="preserve">Appeals Policy   </w:t>
      </w:r>
    </w:p>
    <w:p w14:paraId="0E90CD3C" w14:textId="77777777" w:rsidR="00430871" w:rsidRDefault="00430871" w:rsidP="00430871">
      <w:r>
        <w:t xml:space="preserve">On occasions a learner may disagree with their assessment outcome and may want to appeal the assessor’s decision.  There must be a clear process for them to follow that allows this appeal.  </w:t>
      </w:r>
    </w:p>
    <w:p w14:paraId="641E2F24" w14:textId="77777777" w:rsidR="00430871" w:rsidRDefault="00430871" w:rsidP="00430871">
      <w:pPr>
        <w:spacing w:after="19" w:line="259" w:lineRule="auto"/>
        <w:ind w:left="0" w:firstLine="0"/>
      </w:pPr>
      <w:r>
        <w:t xml:space="preserve"> </w:t>
      </w:r>
    </w:p>
    <w:p w14:paraId="750368B1" w14:textId="77777777" w:rsidR="00430871" w:rsidRDefault="00430871" w:rsidP="00430871">
      <w:r>
        <w:t xml:space="preserve">The policy should include:  </w:t>
      </w:r>
    </w:p>
    <w:p w14:paraId="1ED44EBB" w14:textId="77777777" w:rsidR="00430871" w:rsidRDefault="00430871" w:rsidP="00430871">
      <w:pPr>
        <w:numPr>
          <w:ilvl w:val="0"/>
          <w:numId w:val="5"/>
        </w:numPr>
        <w:ind w:hanging="360"/>
      </w:pPr>
      <w:r>
        <w:t xml:space="preserve">The grounds for an appeal. </w:t>
      </w:r>
    </w:p>
    <w:p w14:paraId="51DD1C4C" w14:textId="77777777" w:rsidR="00430871" w:rsidRDefault="00430871" w:rsidP="00430871">
      <w:pPr>
        <w:numPr>
          <w:ilvl w:val="0"/>
          <w:numId w:val="5"/>
        </w:numPr>
        <w:ind w:hanging="360"/>
      </w:pPr>
      <w:r>
        <w:t xml:space="preserve">The process a learner must follow to make an appeal.  </w:t>
      </w:r>
    </w:p>
    <w:p w14:paraId="2A936A93" w14:textId="77777777" w:rsidR="00430871" w:rsidRDefault="00430871" w:rsidP="00430871">
      <w:pPr>
        <w:numPr>
          <w:ilvl w:val="0"/>
          <w:numId w:val="5"/>
        </w:numPr>
        <w:ind w:hanging="360"/>
      </w:pPr>
      <w:r>
        <w:t xml:space="preserve">The timeframe within which appeals must be made. </w:t>
      </w:r>
    </w:p>
    <w:p w14:paraId="746C5082" w14:textId="77777777" w:rsidR="00430871" w:rsidRDefault="00430871" w:rsidP="00430871">
      <w:pPr>
        <w:numPr>
          <w:ilvl w:val="0"/>
          <w:numId w:val="5"/>
        </w:numPr>
        <w:ind w:hanging="360"/>
      </w:pPr>
      <w:r>
        <w:t xml:space="preserve">The different stages of the appeal.   </w:t>
      </w:r>
    </w:p>
    <w:p w14:paraId="7A597386" w14:textId="77777777" w:rsidR="00430871" w:rsidRDefault="00430871" w:rsidP="00430871">
      <w:pPr>
        <w:numPr>
          <w:ilvl w:val="0"/>
          <w:numId w:val="5"/>
        </w:numPr>
        <w:ind w:hanging="360"/>
      </w:pPr>
      <w:r>
        <w:t xml:space="preserve">Responsibilities of those involved at each stage of the appeal. </w:t>
      </w:r>
    </w:p>
    <w:p w14:paraId="54B1D5E3" w14:textId="77777777" w:rsidR="00430871" w:rsidRDefault="00430871" w:rsidP="00430871">
      <w:pPr>
        <w:numPr>
          <w:ilvl w:val="0"/>
          <w:numId w:val="5"/>
        </w:numPr>
        <w:ind w:hanging="360"/>
      </w:pPr>
      <w:r>
        <w:t xml:space="preserve">Timescales for each stage of the appeal process. </w:t>
      </w:r>
    </w:p>
    <w:p w14:paraId="45674932" w14:textId="77777777" w:rsidR="00430871" w:rsidRDefault="00430871" w:rsidP="00430871">
      <w:pPr>
        <w:numPr>
          <w:ilvl w:val="0"/>
          <w:numId w:val="5"/>
        </w:numPr>
        <w:ind w:hanging="360"/>
      </w:pPr>
      <w:r>
        <w:t xml:space="preserve">How an appeal can be escalated once the centre’s process has been exhausted and to whom i.e. ATHE, where necessary.  </w:t>
      </w:r>
    </w:p>
    <w:p w14:paraId="462911C4" w14:textId="6F7543CB" w:rsidR="00430871" w:rsidRDefault="00430871">
      <w:pPr>
        <w:spacing w:after="16" w:line="259" w:lineRule="auto"/>
        <w:ind w:left="0" w:firstLine="0"/>
      </w:pPr>
    </w:p>
    <w:p w14:paraId="00B6BE3B" w14:textId="77777777" w:rsidR="00B71CDA" w:rsidRDefault="00B71CDA">
      <w:pPr>
        <w:spacing w:after="16" w:line="259" w:lineRule="auto"/>
        <w:ind w:left="0" w:firstLine="0"/>
      </w:pPr>
    </w:p>
    <w:p w14:paraId="5C1C8CB7" w14:textId="77777777" w:rsidR="00430871" w:rsidRDefault="00430871" w:rsidP="00430871">
      <w:pPr>
        <w:pStyle w:val="Heading2"/>
        <w:ind w:left="-5"/>
      </w:pPr>
      <w:r>
        <w:t xml:space="preserve">Assessment Policy </w:t>
      </w:r>
    </w:p>
    <w:p w14:paraId="4E4F3354" w14:textId="77777777" w:rsidR="00430871" w:rsidRDefault="00430871" w:rsidP="00430871">
      <w:r>
        <w:t xml:space="preserve">Centres must have a policy that describes the assessment process it will use for each of the qualifications it has requested approval to deliver. </w:t>
      </w:r>
    </w:p>
    <w:p w14:paraId="4F70F81A" w14:textId="77777777" w:rsidR="00430871" w:rsidRDefault="00430871" w:rsidP="00430871">
      <w:pPr>
        <w:spacing w:after="19" w:line="259" w:lineRule="auto"/>
        <w:ind w:left="0" w:firstLine="0"/>
      </w:pPr>
      <w:r>
        <w:t xml:space="preserve"> </w:t>
      </w:r>
    </w:p>
    <w:p w14:paraId="3BEAEE70" w14:textId="77777777" w:rsidR="00430871" w:rsidRDefault="00430871" w:rsidP="00430871">
      <w:r>
        <w:t xml:space="preserve">This policy must include:  </w:t>
      </w:r>
    </w:p>
    <w:p w14:paraId="3ECA153B" w14:textId="77777777" w:rsidR="00430871" w:rsidRDefault="00430871" w:rsidP="00430871">
      <w:pPr>
        <w:numPr>
          <w:ilvl w:val="0"/>
          <w:numId w:val="8"/>
        </w:numPr>
        <w:ind w:hanging="360"/>
      </w:pPr>
      <w:r>
        <w:t xml:space="preserve">The role of the assessor. </w:t>
      </w:r>
    </w:p>
    <w:p w14:paraId="699D4A67" w14:textId="77777777" w:rsidR="00430871" w:rsidRDefault="00430871" w:rsidP="00430871">
      <w:pPr>
        <w:numPr>
          <w:ilvl w:val="0"/>
          <w:numId w:val="8"/>
        </w:numPr>
        <w:ind w:hanging="360"/>
      </w:pPr>
      <w:r>
        <w:t xml:space="preserve">How the qualifications will be assessed – whether ATHE assignments or ATHE approved centre devised assignments are to be used. </w:t>
      </w:r>
    </w:p>
    <w:p w14:paraId="523C46AE" w14:textId="77777777" w:rsidR="00430871" w:rsidRDefault="00430871" w:rsidP="00430871">
      <w:pPr>
        <w:numPr>
          <w:ilvl w:val="0"/>
          <w:numId w:val="8"/>
        </w:numPr>
        <w:ind w:hanging="360"/>
      </w:pPr>
      <w:r>
        <w:t xml:space="preserve">The requirements for assessing against the learning outcomes at the standards described (assessment criteria). </w:t>
      </w:r>
    </w:p>
    <w:p w14:paraId="6D706550" w14:textId="7C9615F1" w:rsidR="00430871" w:rsidRDefault="00430871" w:rsidP="00430871">
      <w:pPr>
        <w:numPr>
          <w:ilvl w:val="0"/>
          <w:numId w:val="8"/>
        </w:numPr>
        <w:ind w:hanging="360"/>
      </w:pPr>
      <w:r>
        <w:t xml:space="preserve">The requirement for assessors to provide detailed and meaningful feedback, both developmental and in confirming achievement to </w:t>
      </w:r>
      <w:r w:rsidR="00980F6C">
        <w:t>learners, at the standards set by the</w:t>
      </w:r>
      <w:r>
        <w:t xml:space="preserve"> assessment criteria. </w:t>
      </w:r>
    </w:p>
    <w:p w14:paraId="0BEBA1AE" w14:textId="77777777" w:rsidR="00430871" w:rsidRDefault="00430871" w:rsidP="00430871">
      <w:pPr>
        <w:numPr>
          <w:ilvl w:val="0"/>
          <w:numId w:val="8"/>
        </w:numPr>
        <w:ind w:hanging="360"/>
      </w:pPr>
      <w:r>
        <w:t xml:space="preserve">How the assessment and feedback will be recorded. </w:t>
      </w:r>
    </w:p>
    <w:p w14:paraId="7D9E3685" w14:textId="05D6CA8E" w:rsidR="00430871" w:rsidRDefault="00430871">
      <w:pPr>
        <w:spacing w:after="16" w:line="259" w:lineRule="auto"/>
        <w:ind w:left="0" w:firstLine="0"/>
      </w:pPr>
    </w:p>
    <w:p w14:paraId="1C255A24" w14:textId="1225C847" w:rsidR="00430871" w:rsidRDefault="00430871">
      <w:pPr>
        <w:spacing w:after="16" w:line="259" w:lineRule="auto"/>
        <w:ind w:left="0" w:firstLine="0"/>
      </w:pPr>
    </w:p>
    <w:p w14:paraId="693EAAED" w14:textId="77777777" w:rsidR="00430871" w:rsidRDefault="00430871" w:rsidP="00430871">
      <w:pPr>
        <w:pStyle w:val="Heading2"/>
        <w:ind w:left="-5"/>
      </w:pPr>
      <w:r>
        <w:t xml:space="preserve">Complaints Policy  </w:t>
      </w:r>
    </w:p>
    <w:p w14:paraId="24303585" w14:textId="77777777" w:rsidR="00430871" w:rsidRDefault="00430871" w:rsidP="00430871">
      <w:r>
        <w:t xml:space="preserve">There must be a complaints policy in place to allow a learner to make a complaint about something </w:t>
      </w:r>
      <w:r>
        <w:rPr>
          <w:i/>
        </w:rPr>
        <w:t>other than</w:t>
      </w:r>
      <w:r>
        <w:t xml:space="preserve"> the assessment process.   </w:t>
      </w:r>
    </w:p>
    <w:p w14:paraId="6881E69D" w14:textId="77777777" w:rsidR="00430871" w:rsidRDefault="00430871" w:rsidP="00430871">
      <w:pPr>
        <w:spacing w:after="16" w:line="259" w:lineRule="auto"/>
        <w:ind w:left="0" w:firstLine="0"/>
      </w:pPr>
      <w:r>
        <w:t xml:space="preserve"> </w:t>
      </w:r>
    </w:p>
    <w:p w14:paraId="5A78F0D2" w14:textId="77777777" w:rsidR="00430871" w:rsidRDefault="00430871" w:rsidP="00430871">
      <w:r>
        <w:t xml:space="preserve">The policy should include:   </w:t>
      </w:r>
    </w:p>
    <w:p w14:paraId="6CBB95AF" w14:textId="77777777" w:rsidR="00430871" w:rsidRDefault="00430871" w:rsidP="00430871">
      <w:pPr>
        <w:spacing w:after="34" w:line="259" w:lineRule="auto"/>
        <w:ind w:left="0" w:firstLine="0"/>
      </w:pPr>
      <w:r>
        <w:lastRenderedPageBreak/>
        <w:t xml:space="preserve"> </w:t>
      </w:r>
    </w:p>
    <w:p w14:paraId="736A3BE7" w14:textId="64A505BF" w:rsidR="00430871" w:rsidRDefault="00430871" w:rsidP="00430871">
      <w:pPr>
        <w:numPr>
          <w:ilvl w:val="0"/>
          <w:numId w:val="2"/>
        </w:numPr>
        <w:ind w:hanging="360"/>
      </w:pPr>
      <w:r>
        <w:t xml:space="preserve">Grounds for a complaint </w:t>
      </w:r>
      <w:proofErr w:type="gramStart"/>
      <w:r>
        <w:t>e.g.</w:t>
      </w:r>
      <w:proofErr w:type="gramEnd"/>
      <w:r>
        <w:t xml:space="preserve"> an individual, the centre, a centre policy</w:t>
      </w:r>
      <w:r w:rsidR="00B71CDA">
        <w:t>.</w:t>
      </w:r>
      <w:r>
        <w:t xml:space="preserve"> </w:t>
      </w:r>
    </w:p>
    <w:p w14:paraId="4D890B52" w14:textId="2609D43E" w:rsidR="00430871" w:rsidRDefault="00430871" w:rsidP="00430871">
      <w:pPr>
        <w:numPr>
          <w:ilvl w:val="0"/>
          <w:numId w:val="2"/>
        </w:numPr>
        <w:ind w:hanging="360"/>
      </w:pPr>
      <w:r>
        <w:t>The process to follow to make a complaint</w:t>
      </w:r>
      <w:r w:rsidR="00B71CDA">
        <w:t>.</w:t>
      </w:r>
      <w:r>
        <w:t xml:space="preserve">   </w:t>
      </w:r>
    </w:p>
    <w:p w14:paraId="1D84331D" w14:textId="3BA652EF" w:rsidR="00430871" w:rsidRDefault="00430871" w:rsidP="00430871">
      <w:pPr>
        <w:numPr>
          <w:ilvl w:val="0"/>
          <w:numId w:val="2"/>
        </w:numPr>
        <w:ind w:hanging="360"/>
      </w:pPr>
      <w:r>
        <w:t>The timeframe within which a complaint must be made</w:t>
      </w:r>
      <w:r w:rsidR="00B71CDA">
        <w:t>.</w:t>
      </w:r>
      <w:r>
        <w:t xml:space="preserve"> </w:t>
      </w:r>
    </w:p>
    <w:p w14:paraId="73A9AFB5" w14:textId="750F22C1" w:rsidR="00430871" w:rsidRDefault="00430871" w:rsidP="00430871">
      <w:pPr>
        <w:numPr>
          <w:ilvl w:val="0"/>
          <w:numId w:val="2"/>
        </w:numPr>
        <w:ind w:hanging="360"/>
      </w:pPr>
      <w:r>
        <w:t>The different stages of the complaint process</w:t>
      </w:r>
      <w:r w:rsidR="00B71CDA">
        <w:t>.</w:t>
      </w:r>
      <w:r>
        <w:t xml:space="preserve"> </w:t>
      </w:r>
    </w:p>
    <w:p w14:paraId="4FC69A3B" w14:textId="7C4FAAA6" w:rsidR="00430871" w:rsidRDefault="00430871" w:rsidP="00430871">
      <w:pPr>
        <w:numPr>
          <w:ilvl w:val="0"/>
          <w:numId w:val="2"/>
        </w:numPr>
        <w:ind w:hanging="360"/>
      </w:pPr>
      <w:r>
        <w:t>Responsibilities for those involved at each stage</w:t>
      </w:r>
      <w:r w:rsidR="00B71CDA">
        <w:t>.</w:t>
      </w:r>
      <w:r>
        <w:t xml:space="preserve">  </w:t>
      </w:r>
    </w:p>
    <w:p w14:paraId="11179D6E" w14:textId="561A2FAC" w:rsidR="00430871" w:rsidRDefault="00430871" w:rsidP="00430871">
      <w:pPr>
        <w:numPr>
          <w:ilvl w:val="0"/>
          <w:numId w:val="2"/>
        </w:numPr>
        <w:ind w:hanging="360"/>
      </w:pPr>
      <w:r>
        <w:t>Timescales for each stage</w:t>
      </w:r>
      <w:r w:rsidR="00B71CDA">
        <w:t>.</w:t>
      </w:r>
      <w:r>
        <w:t xml:space="preserve">  </w:t>
      </w:r>
    </w:p>
    <w:p w14:paraId="51FF5030" w14:textId="339FB49F" w:rsidR="00430871" w:rsidRDefault="00430871" w:rsidP="00430871">
      <w:pPr>
        <w:numPr>
          <w:ilvl w:val="0"/>
          <w:numId w:val="2"/>
        </w:numPr>
        <w:ind w:hanging="360"/>
      </w:pPr>
      <w:r>
        <w:t>The requirement to follow the centre policy before escalation to ATHE</w:t>
      </w:r>
      <w:r w:rsidR="00B71CDA">
        <w:t>.</w:t>
      </w:r>
      <w:r>
        <w:t xml:space="preserve">  </w:t>
      </w:r>
    </w:p>
    <w:p w14:paraId="4AB4295D" w14:textId="32317B6B" w:rsidR="00430871" w:rsidRDefault="00430871" w:rsidP="00430871">
      <w:pPr>
        <w:numPr>
          <w:ilvl w:val="0"/>
          <w:numId w:val="2"/>
        </w:numPr>
        <w:ind w:hanging="360"/>
      </w:pPr>
      <w:r>
        <w:t>The basis for escalation of a complaint and the process used</w:t>
      </w:r>
      <w:r w:rsidR="00B71CDA">
        <w:t>.</w:t>
      </w:r>
      <w:r>
        <w:t xml:space="preserve">  </w:t>
      </w:r>
    </w:p>
    <w:p w14:paraId="76C17D95" w14:textId="20FD747D" w:rsidR="00430871" w:rsidRDefault="00430871" w:rsidP="00430871"/>
    <w:p w14:paraId="366AA3D2" w14:textId="77777777" w:rsidR="00F24516" w:rsidRDefault="00F24516" w:rsidP="00430871"/>
    <w:p w14:paraId="08416902" w14:textId="77777777" w:rsidR="00430871" w:rsidRDefault="00430871" w:rsidP="00430871">
      <w:pPr>
        <w:pStyle w:val="Heading2"/>
        <w:ind w:left="-5"/>
      </w:pPr>
      <w:r>
        <w:t>Conflicts of Interest Policy</w:t>
      </w:r>
      <w:r>
        <w:rPr>
          <w:b w:val="0"/>
        </w:rPr>
        <w:t xml:space="preserve"> </w:t>
      </w:r>
    </w:p>
    <w:p w14:paraId="50663516" w14:textId="77777777" w:rsidR="00430871" w:rsidRDefault="00430871" w:rsidP="00430871">
      <w:r>
        <w:t xml:space="preserve">It is a requirement for all tutors / trainers / teachers, assessors, internal quality assurers and anyone else involved in the delivery and assessment of ATHE qualifications to disclose any actual or potential conflict of interest, and the centre should have a policy in place for dealing with this.  </w:t>
      </w:r>
    </w:p>
    <w:p w14:paraId="7C0F7224" w14:textId="77777777" w:rsidR="00430871" w:rsidRDefault="00430871" w:rsidP="00430871">
      <w:pPr>
        <w:spacing w:after="16" w:line="259" w:lineRule="auto"/>
        <w:ind w:left="0" w:firstLine="0"/>
      </w:pPr>
      <w:r>
        <w:t xml:space="preserve"> </w:t>
      </w:r>
    </w:p>
    <w:p w14:paraId="779AD785" w14:textId="77777777" w:rsidR="00430871" w:rsidRDefault="00430871" w:rsidP="00430871">
      <w:r>
        <w:t xml:space="preserve">The policy should include:  </w:t>
      </w:r>
    </w:p>
    <w:p w14:paraId="0A4B00AE" w14:textId="77777777" w:rsidR="00430871" w:rsidRDefault="00430871" w:rsidP="00430871">
      <w:pPr>
        <w:numPr>
          <w:ilvl w:val="0"/>
          <w:numId w:val="3"/>
        </w:numPr>
        <w:ind w:hanging="360"/>
      </w:pPr>
      <w:r>
        <w:t xml:space="preserve">A definition of Conflict of Interest and what may constitute a conflict. </w:t>
      </w:r>
    </w:p>
    <w:p w14:paraId="7A65D452" w14:textId="77777777" w:rsidR="00430871" w:rsidRDefault="00430871" w:rsidP="00430871">
      <w:pPr>
        <w:numPr>
          <w:ilvl w:val="0"/>
          <w:numId w:val="3"/>
        </w:numPr>
        <w:ind w:hanging="360"/>
      </w:pPr>
      <w:r>
        <w:t xml:space="preserve">The process for declaring any conflict of interest: </w:t>
      </w:r>
    </w:p>
    <w:p w14:paraId="2F8F4813" w14:textId="77777777" w:rsidR="00430871" w:rsidRDefault="00430871" w:rsidP="00430871">
      <w:pPr>
        <w:numPr>
          <w:ilvl w:val="1"/>
          <w:numId w:val="3"/>
        </w:numPr>
        <w:ind w:hanging="360"/>
      </w:pPr>
      <w:r>
        <w:t xml:space="preserve">All tutors, assessors, internal quality assurers must complete a </w:t>
      </w:r>
      <w:proofErr w:type="gramStart"/>
      <w:r>
        <w:t>conflict of interest</w:t>
      </w:r>
      <w:proofErr w:type="gramEnd"/>
      <w:r>
        <w:t xml:space="preserve"> form on appointment to the organisation. </w:t>
      </w:r>
    </w:p>
    <w:p w14:paraId="26CCC52A" w14:textId="77777777" w:rsidR="00430871" w:rsidRDefault="00430871" w:rsidP="00430871">
      <w:pPr>
        <w:numPr>
          <w:ilvl w:val="1"/>
          <w:numId w:val="3"/>
        </w:numPr>
        <w:ind w:hanging="360"/>
      </w:pPr>
      <w:r>
        <w:t xml:space="preserve">The form is to be completed even when the individual has no conflicts of interest to declare. </w:t>
      </w:r>
    </w:p>
    <w:p w14:paraId="18B4A1F2" w14:textId="77777777" w:rsidR="00430871" w:rsidRDefault="00430871" w:rsidP="00430871">
      <w:pPr>
        <w:numPr>
          <w:ilvl w:val="1"/>
          <w:numId w:val="3"/>
        </w:numPr>
        <w:ind w:hanging="360"/>
      </w:pPr>
      <w:r>
        <w:t xml:space="preserve">The </w:t>
      </w:r>
      <w:proofErr w:type="gramStart"/>
      <w:r>
        <w:t>conflict of interest</w:t>
      </w:r>
      <w:proofErr w:type="gramEnd"/>
      <w:r>
        <w:t xml:space="preserve"> declaration is updated on at least an annual basis by all staff. </w:t>
      </w:r>
    </w:p>
    <w:p w14:paraId="64B5718A" w14:textId="77777777" w:rsidR="00430871" w:rsidRDefault="00430871" w:rsidP="00430871">
      <w:pPr>
        <w:numPr>
          <w:ilvl w:val="1"/>
          <w:numId w:val="3"/>
        </w:numPr>
        <w:ind w:hanging="360"/>
      </w:pPr>
      <w:r>
        <w:t xml:space="preserve">The information held on the </w:t>
      </w:r>
      <w:proofErr w:type="gramStart"/>
      <w:r>
        <w:t>conflict of interest</w:t>
      </w:r>
      <w:proofErr w:type="gramEnd"/>
      <w:r>
        <w:t xml:space="preserve"> form is held centrally and monitored by a designated person at the centre. </w:t>
      </w:r>
    </w:p>
    <w:p w14:paraId="1FD1B6EB" w14:textId="77777777" w:rsidR="00430871" w:rsidRDefault="00430871" w:rsidP="00430871">
      <w:pPr>
        <w:numPr>
          <w:ilvl w:val="1"/>
          <w:numId w:val="3"/>
        </w:numPr>
        <w:ind w:hanging="360"/>
      </w:pPr>
      <w:r>
        <w:t xml:space="preserve">If the individual concerned has any changes to their declared circumstances, they must inform their line manager immediately in writing. </w:t>
      </w:r>
    </w:p>
    <w:p w14:paraId="4B630B8B" w14:textId="77777777" w:rsidR="00430871" w:rsidRDefault="00430871" w:rsidP="00430871">
      <w:pPr>
        <w:numPr>
          <w:ilvl w:val="0"/>
          <w:numId w:val="3"/>
        </w:numPr>
        <w:ind w:hanging="360"/>
      </w:pPr>
      <w:r>
        <w:t xml:space="preserve">How declared conflicts of interest will be dealt with. </w:t>
      </w:r>
    </w:p>
    <w:p w14:paraId="31BEB9D9" w14:textId="7243451A" w:rsidR="00430871" w:rsidRDefault="00430871" w:rsidP="00430871">
      <w:pPr>
        <w:numPr>
          <w:ilvl w:val="0"/>
          <w:numId w:val="3"/>
        </w:numPr>
        <w:ind w:hanging="360"/>
      </w:pPr>
      <w:r>
        <w:t xml:space="preserve">A written record of the outcome of how any identified conflict of interest is dealt with. </w:t>
      </w:r>
    </w:p>
    <w:p w14:paraId="252503DD" w14:textId="54BEE816" w:rsidR="00F24516" w:rsidRDefault="00430871" w:rsidP="00430871">
      <w:pPr>
        <w:spacing w:after="213" w:line="259" w:lineRule="auto"/>
        <w:ind w:left="0" w:firstLine="0"/>
      </w:pPr>
      <w:r>
        <w:t xml:space="preserve"> </w:t>
      </w:r>
    </w:p>
    <w:p w14:paraId="7A2E3700" w14:textId="77777777" w:rsidR="00430871" w:rsidRDefault="00430871" w:rsidP="00430871">
      <w:pPr>
        <w:pStyle w:val="Heading2"/>
        <w:ind w:left="-5"/>
      </w:pPr>
      <w:r>
        <w:t xml:space="preserve">Data Protection Policy  </w:t>
      </w:r>
    </w:p>
    <w:p w14:paraId="5A00F821" w14:textId="60737406" w:rsidR="00430871" w:rsidRDefault="00430871" w:rsidP="00430871">
      <w:r>
        <w:t xml:space="preserve">This policy will normally relate to your country’s legal requirements on data protection.  It will relate to staff in </w:t>
      </w:r>
      <w:r w:rsidR="00B71CDA">
        <w:t>your</w:t>
      </w:r>
      <w:r>
        <w:t xml:space="preserve"> centre and to the learners on your programmes. </w:t>
      </w:r>
    </w:p>
    <w:p w14:paraId="723BF103" w14:textId="77777777" w:rsidR="00430871" w:rsidRDefault="00430871" w:rsidP="00430871">
      <w:pPr>
        <w:spacing w:after="16" w:line="259" w:lineRule="auto"/>
        <w:ind w:left="0" w:firstLine="0"/>
      </w:pPr>
      <w:r>
        <w:t xml:space="preserve"> </w:t>
      </w:r>
    </w:p>
    <w:p w14:paraId="0099F6EE" w14:textId="77777777" w:rsidR="00430871" w:rsidRDefault="00430871" w:rsidP="00430871">
      <w:r>
        <w:t xml:space="preserve">The policy should include:  </w:t>
      </w:r>
    </w:p>
    <w:p w14:paraId="2DA2BF3C" w14:textId="77777777" w:rsidR="00430871" w:rsidRDefault="00430871" w:rsidP="00430871">
      <w:pPr>
        <w:numPr>
          <w:ilvl w:val="0"/>
          <w:numId w:val="4"/>
        </w:numPr>
        <w:ind w:hanging="360"/>
      </w:pPr>
      <w:r>
        <w:t xml:space="preserve">What personal data you will retain and the reasons(s) for retaining it. </w:t>
      </w:r>
    </w:p>
    <w:p w14:paraId="578F322B" w14:textId="77777777" w:rsidR="00430871" w:rsidRDefault="00430871" w:rsidP="00430871">
      <w:pPr>
        <w:numPr>
          <w:ilvl w:val="0"/>
          <w:numId w:val="4"/>
        </w:numPr>
        <w:ind w:hanging="360"/>
      </w:pPr>
      <w:r>
        <w:t xml:space="preserve">How you will handle, </w:t>
      </w:r>
      <w:proofErr w:type="gramStart"/>
      <w:r>
        <w:t>protect</w:t>
      </w:r>
      <w:proofErr w:type="gramEnd"/>
      <w:r>
        <w:t xml:space="preserve"> and store data. </w:t>
      </w:r>
    </w:p>
    <w:p w14:paraId="4B985F68" w14:textId="77777777" w:rsidR="00B71CDA" w:rsidRDefault="00430871" w:rsidP="00430871">
      <w:pPr>
        <w:numPr>
          <w:ilvl w:val="0"/>
          <w:numId w:val="4"/>
        </w:numPr>
        <w:ind w:hanging="360"/>
      </w:pPr>
      <w:r>
        <w:t>How it will be used by you and who it will be shared with.</w:t>
      </w:r>
    </w:p>
    <w:p w14:paraId="2B848B01" w14:textId="13766D25" w:rsidR="00430871" w:rsidRDefault="00B71CDA" w:rsidP="00430871">
      <w:pPr>
        <w:numPr>
          <w:ilvl w:val="0"/>
          <w:numId w:val="4"/>
        </w:numPr>
        <w:ind w:hanging="360"/>
      </w:pPr>
      <w:r>
        <w:t>How staff and learners can request access to the data held on them and their rights to this data.</w:t>
      </w:r>
      <w:r w:rsidR="00430871">
        <w:t xml:space="preserve">  </w:t>
      </w:r>
    </w:p>
    <w:p w14:paraId="0F8B53F3" w14:textId="75BB2495" w:rsidR="00F24516" w:rsidRDefault="00F24516" w:rsidP="00430871"/>
    <w:p w14:paraId="27775A06" w14:textId="77777777" w:rsidR="00F24516" w:rsidRDefault="00F24516" w:rsidP="00B71CDA"/>
    <w:p w14:paraId="3AB63E40" w14:textId="77777777" w:rsidR="00430871" w:rsidRDefault="00430871" w:rsidP="00430871">
      <w:pPr>
        <w:pStyle w:val="Heading2"/>
        <w:ind w:left="-5"/>
      </w:pPr>
      <w:r>
        <w:t xml:space="preserve">Equality and Diversity Policy   </w:t>
      </w:r>
    </w:p>
    <w:p w14:paraId="7C7EF417" w14:textId="1D3AD4B5" w:rsidR="00430871" w:rsidRDefault="00430871" w:rsidP="00430871">
      <w:r>
        <w:t xml:space="preserve">This policy will </w:t>
      </w:r>
      <w:r w:rsidR="00B71CDA">
        <w:t>r</w:t>
      </w:r>
      <w:r>
        <w:t xml:space="preserve">elate to the staff in your centre and </w:t>
      </w:r>
      <w:r w:rsidR="00B71CDA">
        <w:t xml:space="preserve">to </w:t>
      </w:r>
      <w:r>
        <w:t xml:space="preserve">the learners on your programmes. </w:t>
      </w:r>
    </w:p>
    <w:p w14:paraId="2D670434" w14:textId="77777777" w:rsidR="00430871" w:rsidRDefault="00430871" w:rsidP="00430871">
      <w:pPr>
        <w:spacing w:after="16" w:line="259" w:lineRule="auto"/>
        <w:ind w:left="0" w:firstLine="0"/>
      </w:pPr>
      <w:r>
        <w:t xml:space="preserve"> </w:t>
      </w:r>
    </w:p>
    <w:p w14:paraId="6418FD74" w14:textId="77777777" w:rsidR="00430871" w:rsidRDefault="00430871" w:rsidP="00430871">
      <w:r>
        <w:t xml:space="preserve">The policy should include:  </w:t>
      </w:r>
    </w:p>
    <w:p w14:paraId="2DC03EAE" w14:textId="77777777" w:rsidR="00430871" w:rsidRDefault="00430871" w:rsidP="00430871">
      <w:pPr>
        <w:spacing w:after="36" w:line="259" w:lineRule="auto"/>
        <w:ind w:left="0" w:firstLine="0"/>
      </w:pPr>
      <w:r>
        <w:lastRenderedPageBreak/>
        <w:t xml:space="preserve"> </w:t>
      </w:r>
    </w:p>
    <w:p w14:paraId="4331767F" w14:textId="0CB2FD0B" w:rsidR="00430871" w:rsidRDefault="00430871" w:rsidP="00430871">
      <w:pPr>
        <w:numPr>
          <w:ilvl w:val="0"/>
          <w:numId w:val="6"/>
        </w:numPr>
        <w:ind w:hanging="360"/>
      </w:pPr>
      <w:r>
        <w:t>A statement setting out the centre commitment to equality &amp; diversity and anti-discrimination</w:t>
      </w:r>
      <w:r w:rsidR="00B71CDA">
        <w:t>,</w:t>
      </w:r>
      <w:r>
        <w:t xml:space="preserve"> with reference to the protected characteristics in the Equality Act 2010 (UK Legislation) or national equivalent for international centres. </w:t>
      </w:r>
    </w:p>
    <w:p w14:paraId="5B9BC572" w14:textId="77777777" w:rsidR="00430871" w:rsidRDefault="00430871" w:rsidP="00430871">
      <w:pPr>
        <w:numPr>
          <w:ilvl w:val="0"/>
          <w:numId w:val="6"/>
        </w:numPr>
        <w:ind w:hanging="360"/>
      </w:pPr>
      <w:r>
        <w:t xml:space="preserve">How the policy will be disseminated to staff and learners.   </w:t>
      </w:r>
    </w:p>
    <w:p w14:paraId="01F2820E" w14:textId="77777777" w:rsidR="00430871" w:rsidRDefault="00430871" w:rsidP="00430871">
      <w:pPr>
        <w:numPr>
          <w:ilvl w:val="0"/>
          <w:numId w:val="6"/>
        </w:numPr>
        <w:ind w:hanging="360"/>
      </w:pPr>
      <w:r>
        <w:t xml:space="preserve">How your commitment to equal opportunities and anti-discrimination is implemented in delivery and assessment.   </w:t>
      </w:r>
    </w:p>
    <w:p w14:paraId="4F740C2E" w14:textId="77777777" w:rsidR="00430871" w:rsidRDefault="00430871" w:rsidP="00430871">
      <w:pPr>
        <w:numPr>
          <w:ilvl w:val="0"/>
          <w:numId w:val="6"/>
        </w:numPr>
        <w:ind w:hanging="360"/>
      </w:pPr>
      <w:r>
        <w:t xml:space="preserve">Guidance on how to identify those who may be vulnerable to discrimination within the centre – for instance during programme delivery or assessment.  </w:t>
      </w:r>
    </w:p>
    <w:p w14:paraId="32042A4A" w14:textId="112F9356" w:rsidR="00430871" w:rsidRDefault="00430871" w:rsidP="00430871">
      <w:pPr>
        <w:numPr>
          <w:ilvl w:val="0"/>
          <w:numId w:val="6"/>
        </w:numPr>
        <w:ind w:hanging="360"/>
      </w:pPr>
      <w:r>
        <w:t xml:space="preserve">Guidance to staff on what constitutes or could constitute discriminatory practice in the delivery of ATHE qualifications.  </w:t>
      </w:r>
    </w:p>
    <w:p w14:paraId="64D720BD" w14:textId="77777777" w:rsidR="00430871" w:rsidRDefault="00430871" w:rsidP="00430871">
      <w:pPr>
        <w:numPr>
          <w:ilvl w:val="0"/>
          <w:numId w:val="6"/>
        </w:numPr>
        <w:ind w:hanging="360"/>
      </w:pPr>
      <w:r>
        <w:t xml:space="preserve">Guidance on how the organisation promotes equality and diversity. </w:t>
      </w:r>
    </w:p>
    <w:p w14:paraId="2C0FD3EB" w14:textId="77777777" w:rsidR="00430871" w:rsidRDefault="00430871" w:rsidP="00430871">
      <w:pPr>
        <w:numPr>
          <w:ilvl w:val="0"/>
          <w:numId w:val="6"/>
        </w:numPr>
        <w:ind w:hanging="360"/>
      </w:pPr>
      <w:r>
        <w:t xml:space="preserve">How the centre ensures appropriate access to buildings, facilities, learning, learning support and assessment.   </w:t>
      </w:r>
    </w:p>
    <w:p w14:paraId="7641AF5E" w14:textId="77777777" w:rsidR="00430871" w:rsidRDefault="00430871" w:rsidP="00430871">
      <w:pPr>
        <w:numPr>
          <w:ilvl w:val="0"/>
          <w:numId w:val="6"/>
        </w:numPr>
        <w:ind w:hanging="360"/>
      </w:pPr>
      <w:r>
        <w:t xml:space="preserve">The process for dealing with discriminatory practice within the organisation.    </w:t>
      </w:r>
    </w:p>
    <w:p w14:paraId="50F1908C" w14:textId="77777777" w:rsidR="00430871" w:rsidRDefault="00430871" w:rsidP="00430871">
      <w:pPr>
        <w:numPr>
          <w:ilvl w:val="0"/>
          <w:numId w:val="6"/>
        </w:numPr>
        <w:ind w:hanging="360"/>
      </w:pPr>
      <w:r>
        <w:t xml:space="preserve">Records and record-keeping practices relating to the equalities and diversity policy and its implementation, including any complaints or appeals.   </w:t>
      </w:r>
    </w:p>
    <w:p w14:paraId="7CA2320C" w14:textId="684F9B82" w:rsidR="00430871" w:rsidRDefault="00430871">
      <w:pPr>
        <w:spacing w:after="16" w:line="259" w:lineRule="auto"/>
        <w:ind w:left="0" w:firstLine="0"/>
      </w:pPr>
    </w:p>
    <w:p w14:paraId="03AE0A9D" w14:textId="77777777" w:rsidR="00430871" w:rsidRDefault="00430871" w:rsidP="00430871">
      <w:pPr>
        <w:spacing w:after="16" w:line="259" w:lineRule="auto"/>
        <w:ind w:left="0" w:firstLine="0"/>
      </w:pPr>
    </w:p>
    <w:p w14:paraId="46D9E9FF" w14:textId="77777777" w:rsidR="00430871" w:rsidRDefault="00430871" w:rsidP="00430871">
      <w:pPr>
        <w:pStyle w:val="Heading2"/>
        <w:ind w:left="-5"/>
      </w:pPr>
      <w:r>
        <w:t xml:space="preserve">Health and Safety Policy </w:t>
      </w:r>
    </w:p>
    <w:p w14:paraId="30F2C7FC" w14:textId="77777777" w:rsidR="00430871" w:rsidRPr="006F7675" w:rsidRDefault="00430871" w:rsidP="00430871">
      <w:pPr>
        <w:spacing w:after="19" w:line="259" w:lineRule="auto"/>
        <w:ind w:left="0" w:firstLine="0"/>
      </w:pPr>
      <w:r w:rsidRPr="001D3457">
        <w:t>This policy</w:t>
      </w:r>
      <w:r>
        <w:t xml:space="preserve"> is very dependent on the nature of the organisation and the mode of delivery used </w:t>
      </w:r>
      <w:proofErr w:type="gramStart"/>
      <w:r>
        <w:t>e.g.</w:t>
      </w:r>
      <w:proofErr w:type="gramEnd"/>
      <w:r>
        <w:t xml:space="preserve"> face to face learning compared to distance learning</w:t>
      </w:r>
    </w:p>
    <w:p w14:paraId="6CEEDB0C" w14:textId="77777777" w:rsidR="00430871" w:rsidRDefault="00430871" w:rsidP="00430871"/>
    <w:p w14:paraId="225646A9" w14:textId="77777777" w:rsidR="00430871" w:rsidRDefault="00430871" w:rsidP="00430871">
      <w:r>
        <w:t xml:space="preserve">This policy will normally include:  </w:t>
      </w:r>
    </w:p>
    <w:p w14:paraId="62E17910" w14:textId="77777777" w:rsidR="00430871" w:rsidRDefault="00430871" w:rsidP="00430871">
      <w:pPr>
        <w:numPr>
          <w:ilvl w:val="0"/>
          <w:numId w:val="9"/>
        </w:numPr>
        <w:ind w:hanging="360"/>
      </w:pPr>
      <w:r>
        <w:t xml:space="preserve">A commitment to the health and safety of all staff and learners. </w:t>
      </w:r>
    </w:p>
    <w:p w14:paraId="7EEE5970" w14:textId="77777777" w:rsidR="00430871" w:rsidRDefault="00430871" w:rsidP="00430871">
      <w:pPr>
        <w:numPr>
          <w:ilvl w:val="0"/>
          <w:numId w:val="9"/>
        </w:numPr>
        <w:ind w:hanging="360"/>
      </w:pPr>
      <w:r>
        <w:t xml:space="preserve">How learning and teaching environments will be risk assessed. </w:t>
      </w:r>
    </w:p>
    <w:p w14:paraId="18EA1CD8" w14:textId="724B3A1F" w:rsidR="00430871" w:rsidRDefault="00430871" w:rsidP="00430871">
      <w:pPr>
        <w:numPr>
          <w:ilvl w:val="0"/>
          <w:numId w:val="9"/>
        </w:numPr>
        <w:ind w:hanging="360"/>
      </w:pPr>
      <w:r>
        <w:t xml:space="preserve">How any health and safety issues will be </w:t>
      </w:r>
      <w:r w:rsidR="00B71CDA">
        <w:t xml:space="preserve">identified and </w:t>
      </w:r>
      <w:r>
        <w:t xml:space="preserve">mitigated. </w:t>
      </w:r>
    </w:p>
    <w:p w14:paraId="68614762" w14:textId="77777777" w:rsidR="00430871" w:rsidRDefault="00430871" w:rsidP="00430871">
      <w:pPr>
        <w:numPr>
          <w:ilvl w:val="0"/>
          <w:numId w:val="9"/>
        </w:numPr>
        <w:ind w:hanging="360"/>
      </w:pPr>
      <w:r>
        <w:t xml:space="preserve">What the reporting process is for health and safety issues identified in the learning and teaching environment. </w:t>
      </w:r>
    </w:p>
    <w:p w14:paraId="76FC6E4A" w14:textId="77777777" w:rsidR="00430871" w:rsidRDefault="00430871" w:rsidP="00430871">
      <w:pPr>
        <w:numPr>
          <w:ilvl w:val="0"/>
          <w:numId w:val="9"/>
        </w:numPr>
        <w:ind w:hanging="360"/>
      </w:pPr>
      <w:r>
        <w:t xml:space="preserve">Health and safety responsibilities of staff and learners and who is responsible for the management of this area. </w:t>
      </w:r>
    </w:p>
    <w:p w14:paraId="7C920C1F" w14:textId="47BB6DA6" w:rsidR="00430871" w:rsidRDefault="00430871">
      <w:pPr>
        <w:spacing w:after="16" w:line="259" w:lineRule="auto"/>
        <w:ind w:left="0" w:firstLine="0"/>
      </w:pPr>
    </w:p>
    <w:p w14:paraId="7C6A632D" w14:textId="77777777" w:rsidR="00F24516" w:rsidRDefault="00F24516">
      <w:pPr>
        <w:spacing w:after="16" w:line="259" w:lineRule="auto"/>
        <w:ind w:left="0" w:firstLine="0"/>
      </w:pPr>
    </w:p>
    <w:p w14:paraId="411A8099" w14:textId="44826357" w:rsidR="00430871" w:rsidRDefault="00430871" w:rsidP="00430871">
      <w:pPr>
        <w:pStyle w:val="Heading2"/>
        <w:ind w:left="-5"/>
      </w:pPr>
      <w:r>
        <w:t>Instructions for Conducting Time Constrained Summative Assessments and Test</w:t>
      </w:r>
      <w:r w:rsidR="00B71CDA">
        <w:t>s</w:t>
      </w:r>
      <w:r>
        <w:t xml:space="preserve"> Policy (if appropriate)   </w:t>
      </w:r>
    </w:p>
    <w:p w14:paraId="30C44B78" w14:textId="77777777" w:rsidR="00430871" w:rsidRDefault="00430871" w:rsidP="00430871">
      <w:pPr>
        <w:spacing w:after="16" w:line="259" w:lineRule="auto"/>
        <w:ind w:left="0" w:firstLine="0"/>
      </w:pPr>
      <w:r>
        <w:rPr>
          <w:b/>
        </w:rPr>
        <w:t xml:space="preserve"> </w:t>
      </w:r>
    </w:p>
    <w:p w14:paraId="759004EB" w14:textId="77777777" w:rsidR="00430871" w:rsidRDefault="00430871" w:rsidP="00430871">
      <w:r>
        <w:t xml:space="preserve">If you are delivering an ATHE qualification which involves using Time Constrained Summative Assessments and Tests you must have an appropriate policy. </w:t>
      </w:r>
    </w:p>
    <w:p w14:paraId="3119B2C5" w14:textId="77777777" w:rsidR="00430871" w:rsidRDefault="00430871" w:rsidP="00430871">
      <w:pPr>
        <w:spacing w:after="19" w:line="259" w:lineRule="auto"/>
        <w:ind w:left="0" w:firstLine="0"/>
      </w:pPr>
      <w:r>
        <w:t xml:space="preserve"> </w:t>
      </w:r>
    </w:p>
    <w:p w14:paraId="41EBEBBC" w14:textId="77777777" w:rsidR="00430871" w:rsidRDefault="00430871" w:rsidP="00430871">
      <w:r>
        <w:t xml:space="preserve">This policy must include:  </w:t>
      </w:r>
    </w:p>
    <w:p w14:paraId="12BF5FAB" w14:textId="1F4DB308" w:rsidR="00430871" w:rsidRDefault="00430871" w:rsidP="00430871">
      <w:pPr>
        <w:numPr>
          <w:ilvl w:val="0"/>
          <w:numId w:val="10"/>
        </w:numPr>
        <w:ind w:firstLine="720"/>
      </w:pPr>
      <w:r>
        <w:t xml:space="preserve">The requirements of the assessment environment and facilities (room layout etc.) </w:t>
      </w:r>
    </w:p>
    <w:p w14:paraId="52C5EAD4" w14:textId="28F1B74E" w:rsidR="00430871" w:rsidRDefault="00430871" w:rsidP="00430871">
      <w:pPr>
        <w:numPr>
          <w:ilvl w:val="0"/>
          <w:numId w:val="10"/>
        </w:numPr>
        <w:ind w:firstLine="720"/>
      </w:pPr>
      <w:r>
        <w:t>What information will be provided to learners</w:t>
      </w:r>
      <w:r w:rsidR="00B71CDA">
        <w:t>.</w:t>
      </w:r>
      <w:r>
        <w:t xml:space="preserve"> </w:t>
      </w:r>
    </w:p>
    <w:p w14:paraId="0DCE9A57" w14:textId="1F39DB63" w:rsidR="00430871" w:rsidRDefault="00430871" w:rsidP="00430871">
      <w:pPr>
        <w:numPr>
          <w:ilvl w:val="0"/>
          <w:numId w:val="10"/>
        </w:numPr>
        <w:ind w:firstLine="720"/>
      </w:pPr>
      <w:r>
        <w:t xml:space="preserve">Date, time, </w:t>
      </w:r>
      <w:proofErr w:type="gramStart"/>
      <w:r>
        <w:t>duration</w:t>
      </w:r>
      <w:proofErr w:type="gramEnd"/>
      <w:r>
        <w:t xml:space="preserve"> and location of the assessment</w:t>
      </w:r>
      <w:r w:rsidR="00B71CDA">
        <w:t>.</w:t>
      </w:r>
      <w:r>
        <w:t xml:space="preserve">  </w:t>
      </w:r>
    </w:p>
    <w:p w14:paraId="4A03AE7B" w14:textId="77777777" w:rsidR="00430871" w:rsidRDefault="00430871" w:rsidP="00430871">
      <w:pPr>
        <w:numPr>
          <w:ilvl w:val="0"/>
          <w:numId w:val="10"/>
        </w:numPr>
        <w:ind w:firstLine="720"/>
      </w:pPr>
      <w:r>
        <w:t xml:space="preserve">Format of the assessment </w:t>
      </w:r>
      <w:proofErr w:type="gramStart"/>
      <w:r>
        <w:t>e.g.</w:t>
      </w:r>
      <w:proofErr w:type="gramEnd"/>
      <w:r>
        <w:t xml:space="preserve"> multiple choice questions etc. </w:t>
      </w:r>
    </w:p>
    <w:p w14:paraId="0A498B57" w14:textId="68AEA4D2" w:rsidR="00430871" w:rsidRDefault="00430871" w:rsidP="00430871">
      <w:pPr>
        <w:numPr>
          <w:ilvl w:val="0"/>
          <w:numId w:val="10"/>
        </w:numPr>
        <w:ind w:firstLine="720"/>
      </w:pPr>
      <w:r>
        <w:t>Equipment required</w:t>
      </w:r>
      <w:r w:rsidR="00B71CDA">
        <w:t>.</w:t>
      </w:r>
      <w:r>
        <w:t xml:space="preserve"> </w:t>
      </w:r>
    </w:p>
    <w:p w14:paraId="3A0F2A07" w14:textId="77777777" w:rsidR="00B71CDA" w:rsidRDefault="00430871" w:rsidP="00430871">
      <w:pPr>
        <w:numPr>
          <w:ilvl w:val="0"/>
          <w:numId w:val="10"/>
        </w:numPr>
        <w:ind w:firstLine="720"/>
      </w:pPr>
      <w:r>
        <w:t>How assessment materials will be kept secure</w:t>
      </w:r>
      <w:r w:rsidR="00B71CDA">
        <w:t>ly</w:t>
      </w:r>
      <w:r>
        <w:t xml:space="preserve"> prior to and post the time</w:t>
      </w:r>
    </w:p>
    <w:p w14:paraId="4273363D" w14:textId="631871EF" w:rsidR="00430871" w:rsidRDefault="00430871" w:rsidP="00B71CDA">
      <w:pPr>
        <w:ind w:left="1065" w:firstLine="375"/>
      </w:pPr>
      <w:r>
        <w:t xml:space="preserve">constrained test. </w:t>
      </w:r>
    </w:p>
    <w:p w14:paraId="58F48D63" w14:textId="77777777" w:rsidR="00430871" w:rsidRDefault="00430871" w:rsidP="00430871">
      <w:pPr>
        <w:numPr>
          <w:ilvl w:val="0"/>
          <w:numId w:val="10"/>
        </w:numPr>
        <w:ind w:firstLine="720"/>
      </w:pPr>
      <w:r>
        <w:t xml:space="preserve">Invigilation / supervision arrangements.  </w:t>
      </w:r>
    </w:p>
    <w:p w14:paraId="38E0F6E4" w14:textId="77777777" w:rsidR="00430871" w:rsidRDefault="00430871" w:rsidP="00430871">
      <w:pPr>
        <w:numPr>
          <w:ilvl w:val="0"/>
          <w:numId w:val="10"/>
        </w:numPr>
        <w:ind w:firstLine="720"/>
      </w:pPr>
      <w:r>
        <w:t xml:space="preserve">Access to assessment arrangements for learners.  </w:t>
      </w:r>
    </w:p>
    <w:p w14:paraId="296C6032" w14:textId="77777777" w:rsidR="00430871" w:rsidRDefault="00430871" w:rsidP="00430871">
      <w:pPr>
        <w:numPr>
          <w:ilvl w:val="0"/>
          <w:numId w:val="10"/>
        </w:numPr>
        <w:ind w:firstLine="720"/>
      </w:pPr>
      <w:r>
        <w:t xml:space="preserve">Identification of candidates.  </w:t>
      </w:r>
    </w:p>
    <w:p w14:paraId="3DB33010" w14:textId="77777777" w:rsidR="00430871" w:rsidRDefault="00430871" w:rsidP="00430871">
      <w:pPr>
        <w:numPr>
          <w:ilvl w:val="0"/>
          <w:numId w:val="10"/>
        </w:numPr>
        <w:ind w:firstLine="720"/>
      </w:pPr>
      <w:r>
        <w:lastRenderedPageBreak/>
        <w:t xml:space="preserve">Access for staff to assessment rooms and conflict of interests.  </w:t>
      </w:r>
    </w:p>
    <w:p w14:paraId="1E479DBF" w14:textId="7D84A16C" w:rsidR="00430871" w:rsidRDefault="00430871" w:rsidP="00430871">
      <w:pPr>
        <w:numPr>
          <w:ilvl w:val="0"/>
          <w:numId w:val="10"/>
        </w:numPr>
        <w:ind w:firstLine="720"/>
      </w:pPr>
      <w:r>
        <w:t xml:space="preserve">Procedure for </w:t>
      </w:r>
      <w:r w:rsidR="00980F6C">
        <w:t>starting and</w:t>
      </w:r>
      <w:r>
        <w:t xml:space="preserve"> ending the assessment.  </w:t>
      </w:r>
    </w:p>
    <w:p w14:paraId="3C7B6A40" w14:textId="77777777" w:rsidR="00430871" w:rsidRDefault="00430871" w:rsidP="00430871">
      <w:pPr>
        <w:numPr>
          <w:ilvl w:val="0"/>
          <w:numId w:val="10"/>
        </w:numPr>
        <w:ind w:firstLine="720"/>
      </w:pPr>
      <w:r>
        <w:t xml:space="preserve">Misconduct and irregularities.  </w:t>
      </w:r>
    </w:p>
    <w:p w14:paraId="65A7E620" w14:textId="77777777" w:rsidR="00430871" w:rsidRDefault="00430871" w:rsidP="00430871">
      <w:pPr>
        <w:numPr>
          <w:ilvl w:val="0"/>
          <w:numId w:val="10"/>
        </w:numPr>
        <w:ind w:firstLine="720"/>
      </w:pPr>
      <w:r>
        <w:t xml:space="preserve">Dealing with emergencies.  </w:t>
      </w:r>
    </w:p>
    <w:p w14:paraId="75344166" w14:textId="77777777" w:rsidR="00430871" w:rsidRDefault="00430871" w:rsidP="00430871">
      <w:pPr>
        <w:numPr>
          <w:ilvl w:val="0"/>
          <w:numId w:val="10"/>
        </w:numPr>
        <w:ind w:firstLine="720"/>
      </w:pPr>
      <w:r>
        <w:t xml:space="preserve">Management of the learner assessments.   </w:t>
      </w:r>
    </w:p>
    <w:p w14:paraId="70BDD5D8" w14:textId="77777777" w:rsidR="00430871" w:rsidRDefault="00430871" w:rsidP="00430871">
      <w:pPr>
        <w:spacing w:after="17" w:line="259" w:lineRule="auto"/>
        <w:ind w:left="0" w:firstLine="0"/>
      </w:pPr>
      <w:r>
        <w:t xml:space="preserve"> </w:t>
      </w:r>
    </w:p>
    <w:p w14:paraId="68D3A0F7" w14:textId="77777777" w:rsidR="00F24516" w:rsidRDefault="00F24516">
      <w:pPr>
        <w:spacing w:after="16" w:line="259" w:lineRule="auto"/>
        <w:ind w:left="0" w:firstLine="0"/>
      </w:pPr>
    </w:p>
    <w:p w14:paraId="5A775DF1" w14:textId="77777777" w:rsidR="00430871" w:rsidRDefault="00430871" w:rsidP="00430871">
      <w:pPr>
        <w:pStyle w:val="Heading2"/>
        <w:ind w:left="-5"/>
      </w:pPr>
      <w:r>
        <w:t xml:space="preserve">Internal Quality Assurance Policy   </w:t>
      </w:r>
    </w:p>
    <w:p w14:paraId="305BC470" w14:textId="77777777" w:rsidR="00430871" w:rsidRDefault="00430871" w:rsidP="00430871">
      <w:r>
        <w:t xml:space="preserve">This policy will reflect your internal quality assurance processes. </w:t>
      </w:r>
    </w:p>
    <w:p w14:paraId="4B8BC704" w14:textId="77777777" w:rsidR="00430871" w:rsidRDefault="00430871" w:rsidP="00430871">
      <w:pPr>
        <w:spacing w:after="16" w:line="259" w:lineRule="auto"/>
        <w:ind w:left="0" w:firstLine="0"/>
      </w:pPr>
      <w:r>
        <w:t xml:space="preserve"> </w:t>
      </w:r>
    </w:p>
    <w:p w14:paraId="4C5EC57C" w14:textId="77777777" w:rsidR="00430871" w:rsidRDefault="00430871" w:rsidP="00430871">
      <w:r>
        <w:t xml:space="preserve">The policy should include:  </w:t>
      </w:r>
    </w:p>
    <w:p w14:paraId="6ACB0880" w14:textId="77777777" w:rsidR="00430871" w:rsidRDefault="00430871" w:rsidP="00430871">
      <w:pPr>
        <w:numPr>
          <w:ilvl w:val="0"/>
          <w:numId w:val="7"/>
        </w:numPr>
        <w:ind w:hanging="360"/>
      </w:pPr>
      <w:r>
        <w:t xml:space="preserve">A description of key roles and responsibilities in the centre for trainers / tutors / teachers, assessors and IQAs.  </w:t>
      </w:r>
    </w:p>
    <w:p w14:paraId="0A120A45" w14:textId="77777777" w:rsidR="00430871" w:rsidRDefault="00430871" w:rsidP="00430871">
      <w:pPr>
        <w:numPr>
          <w:ilvl w:val="0"/>
          <w:numId w:val="7"/>
        </w:numPr>
        <w:ind w:hanging="360"/>
      </w:pPr>
      <w:r>
        <w:t xml:space="preserve">The process for designing and checking that learning programmes are fit for purpose.  </w:t>
      </w:r>
    </w:p>
    <w:p w14:paraId="71209E9A" w14:textId="77777777" w:rsidR="00430871" w:rsidRDefault="00430871" w:rsidP="00430871">
      <w:pPr>
        <w:numPr>
          <w:ilvl w:val="0"/>
          <w:numId w:val="7"/>
        </w:numPr>
        <w:ind w:hanging="360"/>
      </w:pPr>
      <w:r>
        <w:t xml:space="preserve">The sampling checks that the Internal Quality Assurer will carry out to ensure that assessment decisions are in line with qualification requirements.  </w:t>
      </w:r>
    </w:p>
    <w:p w14:paraId="0B717A3A" w14:textId="77777777" w:rsidR="00430871" w:rsidRDefault="00430871" w:rsidP="00430871">
      <w:pPr>
        <w:numPr>
          <w:ilvl w:val="0"/>
          <w:numId w:val="7"/>
        </w:numPr>
        <w:ind w:hanging="360"/>
      </w:pPr>
      <w:r>
        <w:t xml:space="preserve">The requirement for interim and summative sampling by the IQA. </w:t>
      </w:r>
    </w:p>
    <w:p w14:paraId="1B6AB55A" w14:textId="77777777" w:rsidR="00430871" w:rsidRDefault="00430871" w:rsidP="00430871">
      <w:pPr>
        <w:numPr>
          <w:ilvl w:val="0"/>
          <w:numId w:val="7"/>
        </w:numPr>
        <w:ind w:hanging="360"/>
      </w:pPr>
      <w:r>
        <w:t xml:space="preserve">The amount or level of sampling. </w:t>
      </w:r>
    </w:p>
    <w:p w14:paraId="67BBEC99" w14:textId="77777777" w:rsidR="00430871" w:rsidRDefault="00430871" w:rsidP="00430871">
      <w:pPr>
        <w:numPr>
          <w:ilvl w:val="0"/>
          <w:numId w:val="7"/>
        </w:numPr>
        <w:ind w:hanging="360"/>
      </w:pPr>
      <w:r>
        <w:t xml:space="preserve">The criteria for sampling </w:t>
      </w:r>
      <w:proofErr w:type="gramStart"/>
      <w:r>
        <w:t>e.g.</w:t>
      </w:r>
      <w:proofErr w:type="gramEnd"/>
      <w:r>
        <w:t xml:space="preserve"> all assessors, new assessors, assessment methods across all units etc. </w:t>
      </w:r>
    </w:p>
    <w:p w14:paraId="2F709E8C" w14:textId="77777777" w:rsidR="00430871" w:rsidRDefault="00430871" w:rsidP="00430871">
      <w:pPr>
        <w:numPr>
          <w:ilvl w:val="0"/>
          <w:numId w:val="7"/>
        </w:numPr>
        <w:ind w:hanging="360"/>
      </w:pPr>
      <w:r>
        <w:t xml:space="preserve">How feedback will be given to assessors, what document(s) will be used. </w:t>
      </w:r>
    </w:p>
    <w:p w14:paraId="0E7F2918" w14:textId="77777777" w:rsidR="00430871" w:rsidRDefault="00430871" w:rsidP="00430871">
      <w:pPr>
        <w:numPr>
          <w:ilvl w:val="0"/>
          <w:numId w:val="7"/>
        </w:numPr>
        <w:ind w:hanging="360"/>
      </w:pPr>
      <w:r>
        <w:t xml:space="preserve">What records of assessment / IQA will be retained and for how long. </w:t>
      </w:r>
    </w:p>
    <w:p w14:paraId="3F583517" w14:textId="77777777" w:rsidR="00430871" w:rsidRDefault="00430871" w:rsidP="00430871">
      <w:pPr>
        <w:numPr>
          <w:ilvl w:val="0"/>
          <w:numId w:val="7"/>
        </w:numPr>
        <w:ind w:hanging="360"/>
      </w:pPr>
      <w:r>
        <w:t xml:space="preserve">How learner progress will be monitored. </w:t>
      </w:r>
    </w:p>
    <w:p w14:paraId="35F9961D" w14:textId="77777777" w:rsidR="00430871" w:rsidRDefault="00430871" w:rsidP="00430871">
      <w:pPr>
        <w:numPr>
          <w:ilvl w:val="0"/>
          <w:numId w:val="7"/>
        </w:numPr>
        <w:ind w:hanging="360"/>
      </w:pPr>
      <w:r>
        <w:t xml:space="preserve">How often standardisation meetings will be run, the agenda and attendance requirements.  </w:t>
      </w:r>
    </w:p>
    <w:p w14:paraId="43009972" w14:textId="77777777" w:rsidR="00430871" w:rsidRDefault="00430871" w:rsidP="00430871">
      <w:pPr>
        <w:numPr>
          <w:ilvl w:val="0"/>
          <w:numId w:val="7"/>
        </w:numPr>
        <w:ind w:hanging="360"/>
      </w:pPr>
      <w:r>
        <w:t xml:space="preserve">Staff induction process. </w:t>
      </w:r>
    </w:p>
    <w:p w14:paraId="090B8C20" w14:textId="77777777" w:rsidR="00430871" w:rsidRDefault="00430871" w:rsidP="00430871">
      <w:pPr>
        <w:spacing w:after="16" w:line="259" w:lineRule="auto"/>
        <w:ind w:left="0" w:firstLine="0"/>
      </w:pPr>
      <w:r>
        <w:t xml:space="preserve">  </w:t>
      </w:r>
    </w:p>
    <w:p w14:paraId="6E58527D" w14:textId="77777777" w:rsidR="00F24516" w:rsidRDefault="00F24516" w:rsidP="00430871">
      <w:pPr>
        <w:pStyle w:val="Heading2"/>
        <w:ind w:left="-5"/>
      </w:pPr>
    </w:p>
    <w:p w14:paraId="17875C15" w14:textId="3A190EC4" w:rsidR="00430871" w:rsidRDefault="00430871" w:rsidP="00430871">
      <w:pPr>
        <w:pStyle w:val="Heading2"/>
        <w:ind w:left="-5"/>
      </w:pPr>
      <w:r>
        <w:t xml:space="preserve">Malpractice and Maladministration Policy </w:t>
      </w:r>
    </w:p>
    <w:p w14:paraId="3EE462B4" w14:textId="076EF540" w:rsidR="00430871" w:rsidRDefault="00430871" w:rsidP="00430871">
      <w:r>
        <w:t xml:space="preserve">Centres must have a Malpractice policy and procedure for dealing with </w:t>
      </w:r>
      <w:r w:rsidR="004144A3">
        <w:t>M</w:t>
      </w:r>
      <w:r>
        <w:t xml:space="preserve">alpractice, including Maladministration.   </w:t>
      </w:r>
    </w:p>
    <w:p w14:paraId="5AAB5B65" w14:textId="77777777" w:rsidR="00430871" w:rsidRDefault="00430871" w:rsidP="00430871">
      <w:pPr>
        <w:spacing w:after="16" w:line="259" w:lineRule="auto"/>
        <w:ind w:left="0" w:firstLine="0"/>
      </w:pPr>
      <w:r>
        <w:t xml:space="preserve"> </w:t>
      </w:r>
    </w:p>
    <w:p w14:paraId="7ADE20E2" w14:textId="77777777" w:rsidR="00430871" w:rsidRDefault="00430871" w:rsidP="00430871">
      <w:pPr>
        <w:spacing w:after="38"/>
      </w:pPr>
      <w:r>
        <w:t xml:space="preserve">Malpractice is defined by ATHE as ‘non-compliance with the regulations pertaining to the assessment process, which may adversely affect the integrity of a qualification, its </w:t>
      </w:r>
      <w:proofErr w:type="gramStart"/>
      <w:r>
        <w:t>assessment</w:t>
      </w:r>
      <w:proofErr w:type="gramEnd"/>
      <w:r>
        <w:t xml:space="preserve"> and the validity of learner certificates’.   This includes plagiarism </w:t>
      </w:r>
      <w:proofErr w:type="gramStart"/>
      <w:r>
        <w:t>i.e.</w:t>
      </w:r>
      <w:proofErr w:type="gramEnd"/>
      <w:r>
        <w:t xml:space="preserve"> ‘the presentation of work by learners as their own, without appropriate acknowledgment that the source belongs to others.’ </w:t>
      </w:r>
    </w:p>
    <w:p w14:paraId="36A06D39" w14:textId="77777777" w:rsidR="00430871" w:rsidRDefault="00430871" w:rsidP="00430871">
      <w:pPr>
        <w:spacing w:after="38" w:line="259" w:lineRule="auto"/>
        <w:ind w:left="0" w:firstLine="0"/>
      </w:pPr>
      <w:r>
        <w:t xml:space="preserve"> </w:t>
      </w:r>
    </w:p>
    <w:p w14:paraId="438AE592" w14:textId="3EF6F407" w:rsidR="00430871" w:rsidRDefault="00430871" w:rsidP="00430871">
      <w:r>
        <w:t xml:space="preserve">Maladministration is defined by ATHE as ‘any activity, neglect, default or other practice that results in the centre not complying with the specified requirements for delivery and assessment of the qualifications as set out in the relevant regulatory and ATHE requirements.’ </w:t>
      </w:r>
    </w:p>
    <w:p w14:paraId="22FC775A" w14:textId="77777777" w:rsidR="00F24516" w:rsidRDefault="00F24516" w:rsidP="00430871"/>
    <w:p w14:paraId="0A959EC9" w14:textId="77777777" w:rsidR="00430871" w:rsidRDefault="00430871" w:rsidP="00430871">
      <w:pPr>
        <w:spacing w:after="19" w:line="259" w:lineRule="auto"/>
        <w:ind w:left="0" w:firstLine="0"/>
      </w:pPr>
      <w:r>
        <w:t xml:space="preserve">The policy should include:  </w:t>
      </w:r>
    </w:p>
    <w:p w14:paraId="28F94E73" w14:textId="77777777" w:rsidR="00430871" w:rsidRDefault="00430871" w:rsidP="00430871">
      <w:pPr>
        <w:numPr>
          <w:ilvl w:val="0"/>
          <w:numId w:val="11"/>
        </w:numPr>
        <w:ind w:hanging="360"/>
      </w:pPr>
      <w:r>
        <w:t xml:space="preserve">A definition of malpractice and maladministration. </w:t>
      </w:r>
    </w:p>
    <w:p w14:paraId="7F436BEA" w14:textId="77777777" w:rsidR="00430871" w:rsidRDefault="00430871" w:rsidP="00430871">
      <w:pPr>
        <w:numPr>
          <w:ilvl w:val="0"/>
          <w:numId w:val="11"/>
        </w:numPr>
        <w:ind w:hanging="360"/>
      </w:pPr>
      <w:r>
        <w:t xml:space="preserve">Examples of centre malpractice and maladministration. </w:t>
      </w:r>
    </w:p>
    <w:p w14:paraId="588FDD8D" w14:textId="77777777" w:rsidR="00430871" w:rsidRDefault="00430871" w:rsidP="00430871">
      <w:pPr>
        <w:numPr>
          <w:ilvl w:val="0"/>
          <w:numId w:val="11"/>
        </w:numPr>
        <w:ind w:hanging="360"/>
      </w:pPr>
      <w:r>
        <w:t xml:space="preserve">Examples of learner malpractice and maladministration.  </w:t>
      </w:r>
    </w:p>
    <w:p w14:paraId="223359A5" w14:textId="457F11B7" w:rsidR="00430871" w:rsidRDefault="00430871" w:rsidP="00430871">
      <w:pPr>
        <w:numPr>
          <w:ilvl w:val="0"/>
          <w:numId w:val="11"/>
        </w:numPr>
        <w:ind w:hanging="360"/>
      </w:pPr>
      <w:r>
        <w:t>The process for dealing and investigating instances of suspected or actual malpractice and maladministration</w:t>
      </w:r>
      <w:r w:rsidR="004144A3">
        <w:t>,</w:t>
      </w:r>
      <w:r>
        <w:t xml:space="preserve"> and potential steps that can be taken to prevent a reoccurrence.  </w:t>
      </w:r>
    </w:p>
    <w:p w14:paraId="2702C63E" w14:textId="0496DB76" w:rsidR="00430871" w:rsidRDefault="00430871" w:rsidP="00430871">
      <w:pPr>
        <w:numPr>
          <w:ilvl w:val="0"/>
          <w:numId w:val="11"/>
        </w:numPr>
        <w:ind w:hanging="360"/>
      </w:pPr>
      <w:r>
        <w:t>Reference that all suspected or alleged cases of malpractice or maladministration must be reported immediately to ATHE</w:t>
      </w:r>
      <w:r w:rsidR="004144A3">
        <w:t>,</w:t>
      </w:r>
      <w:r>
        <w:t xml:space="preserve"> with details of the alleged activity and the source/evidence for the allegation.   </w:t>
      </w:r>
    </w:p>
    <w:p w14:paraId="307BEDF3" w14:textId="77777777" w:rsidR="00430871" w:rsidRDefault="00430871" w:rsidP="00430871">
      <w:pPr>
        <w:numPr>
          <w:ilvl w:val="0"/>
          <w:numId w:val="11"/>
        </w:numPr>
        <w:ind w:hanging="360"/>
      </w:pPr>
      <w:r>
        <w:lastRenderedPageBreak/>
        <w:t xml:space="preserve">A definition of plagiarism with typical examples.  </w:t>
      </w:r>
    </w:p>
    <w:p w14:paraId="1D644A50" w14:textId="77777777" w:rsidR="00430871" w:rsidRDefault="00430871" w:rsidP="00430871">
      <w:pPr>
        <w:numPr>
          <w:ilvl w:val="0"/>
          <w:numId w:val="11"/>
        </w:numPr>
        <w:ind w:hanging="360"/>
      </w:pPr>
      <w:r>
        <w:t xml:space="preserve">A statement that the centre will use a reputable plagiarism detection software for all learner work prior to assessment.  </w:t>
      </w:r>
    </w:p>
    <w:p w14:paraId="2B839A08" w14:textId="77777777" w:rsidR="00430871" w:rsidRDefault="00430871" w:rsidP="00430871">
      <w:pPr>
        <w:numPr>
          <w:ilvl w:val="0"/>
          <w:numId w:val="11"/>
        </w:numPr>
        <w:ind w:hanging="360"/>
      </w:pPr>
      <w:r>
        <w:t xml:space="preserve">Guidelines to learners.  </w:t>
      </w:r>
    </w:p>
    <w:p w14:paraId="142A051D" w14:textId="77777777" w:rsidR="00430871" w:rsidRDefault="00430871">
      <w:pPr>
        <w:spacing w:after="16" w:line="259" w:lineRule="auto"/>
        <w:ind w:left="0" w:firstLine="0"/>
      </w:pPr>
    </w:p>
    <w:p w14:paraId="730CA616" w14:textId="0DBCE0C1" w:rsidR="00F24516" w:rsidRDefault="00E80702">
      <w:pPr>
        <w:spacing w:after="19" w:line="259" w:lineRule="auto"/>
        <w:ind w:left="0" w:firstLine="0"/>
      </w:pPr>
      <w:r>
        <w:t xml:space="preserve"> </w:t>
      </w:r>
    </w:p>
    <w:p w14:paraId="1FA33625" w14:textId="77777777" w:rsidR="00D77230" w:rsidRDefault="00E80702">
      <w:pPr>
        <w:pStyle w:val="Heading2"/>
        <w:ind w:left="-5"/>
      </w:pPr>
      <w:r>
        <w:t xml:space="preserve">Reasonable Adjustments and Special Considerations Policy   </w:t>
      </w:r>
    </w:p>
    <w:p w14:paraId="5360D98B" w14:textId="045A9A89" w:rsidR="00D77230" w:rsidRDefault="00E80702">
      <w:r>
        <w:t>All centres are required to have their own guidance and process for reasonable adjustment arrangements and special considerations</w:t>
      </w:r>
      <w:r w:rsidR="004144A3">
        <w:t>,</w:t>
      </w:r>
      <w:r>
        <w:t xml:space="preserve"> and to ensure that all staff within the centre </w:t>
      </w:r>
      <w:r w:rsidR="00D73CB7">
        <w:t xml:space="preserve">understand </w:t>
      </w:r>
      <w:r>
        <w:t>the content</w:t>
      </w:r>
      <w:r w:rsidR="00D73CB7">
        <w:t xml:space="preserve"> </w:t>
      </w:r>
      <w:r w:rsidR="000F736C">
        <w:t xml:space="preserve">of the policy </w:t>
      </w:r>
      <w:r w:rsidR="00D73CB7">
        <w:t>and apply it.</w:t>
      </w:r>
      <w:r>
        <w:t xml:space="preserve"> </w:t>
      </w:r>
    </w:p>
    <w:p w14:paraId="45869ADD" w14:textId="77777777" w:rsidR="00D77230" w:rsidRDefault="00E80702">
      <w:pPr>
        <w:spacing w:after="19" w:line="259" w:lineRule="auto"/>
        <w:ind w:left="0" w:firstLine="0"/>
      </w:pPr>
      <w:r>
        <w:t xml:space="preserve">    </w:t>
      </w:r>
    </w:p>
    <w:p w14:paraId="28F00B11" w14:textId="12CFDD7B" w:rsidR="00D77230" w:rsidRDefault="00E80702" w:rsidP="004144A3">
      <w:r>
        <w:t xml:space="preserve">The policy should include: </w:t>
      </w:r>
    </w:p>
    <w:p w14:paraId="1BE55BF3" w14:textId="1B956FF9" w:rsidR="00D77230" w:rsidRDefault="00E80702">
      <w:pPr>
        <w:numPr>
          <w:ilvl w:val="0"/>
          <w:numId w:val="1"/>
        </w:numPr>
        <w:ind w:hanging="360"/>
      </w:pPr>
      <w:r>
        <w:t xml:space="preserve">The </w:t>
      </w:r>
      <w:r w:rsidR="00370528">
        <w:t>grounds for making a reasonable adjustment for a learner and the process which will be used</w:t>
      </w:r>
      <w:r w:rsidR="004144A3">
        <w:t>.</w:t>
      </w:r>
    </w:p>
    <w:p w14:paraId="49054BC6" w14:textId="3E08C7CB" w:rsidR="00D77230" w:rsidRDefault="00370528">
      <w:pPr>
        <w:numPr>
          <w:ilvl w:val="0"/>
          <w:numId w:val="1"/>
        </w:numPr>
        <w:ind w:hanging="360"/>
      </w:pPr>
      <w:r>
        <w:t xml:space="preserve">The grounds for </w:t>
      </w:r>
      <w:proofErr w:type="gramStart"/>
      <w:r>
        <w:t xml:space="preserve">making </w:t>
      </w:r>
      <w:r w:rsidR="00E80702">
        <w:t xml:space="preserve">a </w:t>
      </w:r>
      <w:r>
        <w:t>decision</w:t>
      </w:r>
      <w:proofErr w:type="gramEnd"/>
      <w:r>
        <w:t xml:space="preserve"> on a </w:t>
      </w:r>
      <w:r w:rsidR="00E80702">
        <w:t xml:space="preserve">special consideration </w:t>
      </w:r>
      <w:r>
        <w:t>and the process which will be used</w:t>
      </w:r>
      <w:r w:rsidR="004144A3">
        <w:t>.</w:t>
      </w:r>
    </w:p>
    <w:p w14:paraId="6B38C43E" w14:textId="361FEC2B" w:rsidR="00D77230" w:rsidRDefault="00E80702">
      <w:pPr>
        <w:numPr>
          <w:ilvl w:val="0"/>
          <w:numId w:val="1"/>
        </w:numPr>
        <w:ind w:hanging="360"/>
      </w:pPr>
      <w:r>
        <w:t>The timeframe within which request</w:t>
      </w:r>
      <w:r w:rsidR="00D73CB7">
        <w:t>s</w:t>
      </w:r>
      <w:r>
        <w:t xml:space="preserve"> must be made</w:t>
      </w:r>
      <w:r w:rsidR="004144A3">
        <w:t>.</w:t>
      </w:r>
      <w:r>
        <w:t xml:space="preserve">  </w:t>
      </w:r>
    </w:p>
    <w:p w14:paraId="7BCD6C24" w14:textId="6707DD07" w:rsidR="00D77230" w:rsidRDefault="00E80702">
      <w:pPr>
        <w:numPr>
          <w:ilvl w:val="0"/>
          <w:numId w:val="1"/>
        </w:numPr>
        <w:ind w:hanging="360"/>
      </w:pPr>
      <w:r>
        <w:t>The responsibilities of those involved</w:t>
      </w:r>
      <w:r w:rsidR="004144A3">
        <w:t>.</w:t>
      </w:r>
      <w:r>
        <w:t xml:space="preserve">   </w:t>
      </w:r>
    </w:p>
    <w:p w14:paraId="39DB5904" w14:textId="4DABC04A" w:rsidR="00D73CB7" w:rsidRDefault="00E80702">
      <w:pPr>
        <w:numPr>
          <w:ilvl w:val="0"/>
          <w:numId w:val="1"/>
        </w:numPr>
        <w:ind w:hanging="360"/>
      </w:pPr>
      <w:r>
        <w:t>Timescales for each stage of the decision</w:t>
      </w:r>
      <w:r w:rsidR="009A20D0">
        <w:t>-</w:t>
      </w:r>
      <w:r>
        <w:t>making process</w:t>
      </w:r>
      <w:r w:rsidR="004144A3">
        <w:t>.</w:t>
      </w:r>
    </w:p>
    <w:p w14:paraId="1B4EA9FA" w14:textId="341B6A3B" w:rsidR="00D77230" w:rsidRDefault="00E80702" w:rsidP="00370528">
      <w:pPr>
        <w:numPr>
          <w:ilvl w:val="0"/>
          <w:numId w:val="1"/>
        </w:numPr>
        <w:ind w:hanging="360"/>
      </w:pPr>
      <w:r>
        <w:t>The evidence required to justify the reasonable adjustment or special consideration</w:t>
      </w:r>
      <w:r w:rsidR="004144A3">
        <w:t>.</w:t>
      </w:r>
      <w:r>
        <w:t xml:space="preserve"> </w:t>
      </w:r>
    </w:p>
    <w:p w14:paraId="33DB9CB6" w14:textId="239A1CF4" w:rsidR="00D77230" w:rsidRDefault="00E80702">
      <w:pPr>
        <w:numPr>
          <w:ilvl w:val="0"/>
          <w:numId w:val="1"/>
        </w:numPr>
        <w:ind w:hanging="360"/>
      </w:pPr>
      <w:r>
        <w:t xml:space="preserve">The requirement to keep such evidence for a specified </w:t>
      </w:r>
      <w:proofErr w:type="gramStart"/>
      <w:r>
        <w:t>time period</w:t>
      </w:r>
      <w:proofErr w:type="gramEnd"/>
      <w:r w:rsidR="004144A3">
        <w:t>.</w:t>
      </w:r>
      <w:r>
        <w:t xml:space="preserve">  </w:t>
      </w:r>
    </w:p>
    <w:p w14:paraId="54B04DE0" w14:textId="50A76039" w:rsidR="00430871" w:rsidRDefault="00430871" w:rsidP="00430871"/>
    <w:p w14:paraId="432E127F" w14:textId="15DFB57F" w:rsidR="00430871" w:rsidRDefault="00430871" w:rsidP="00430871"/>
    <w:p w14:paraId="2459C239" w14:textId="77777777" w:rsidR="00430871" w:rsidRDefault="00430871" w:rsidP="00430871">
      <w:pPr>
        <w:pStyle w:val="Heading2"/>
        <w:ind w:left="-5"/>
      </w:pPr>
      <w:r>
        <w:t xml:space="preserve">Recognition of Prior Learning Policy (RPL)  </w:t>
      </w:r>
    </w:p>
    <w:p w14:paraId="227CC66C" w14:textId="77777777" w:rsidR="00430871" w:rsidRDefault="00430871" w:rsidP="00430871">
      <w:r>
        <w:t xml:space="preserve">Where the centre intends to use recognition of prior learning there must be a policy in place. </w:t>
      </w:r>
    </w:p>
    <w:p w14:paraId="27D4DC2D" w14:textId="77777777" w:rsidR="00430871" w:rsidRDefault="00430871" w:rsidP="00430871">
      <w:pPr>
        <w:spacing w:after="25"/>
      </w:pPr>
      <w:r>
        <w:t xml:space="preserve">The policy should include:  </w:t>
      </w:r>
    </w:p>
    <w:p w14:paraId="2C0F7401" w14:textId="5CCFCDA4" w:rsidR="00430871" w:rsidRDefault="00430871" w:rsidP="00430871">
      <w:pPr>
        <w:numPr>
          <w:ilvl w:val="0"/>
          <w:numId w:val="12"/>
        </w:numPr>
        <w:ind w:hanging="360"/>
      </w:pPr>
      <w:r>
        <w:t>A definition and explanation of RPL</w:t>
      </w:r>
      <w:r w:rsidR="004144A3">
        <w:t>.</w:t>
      </w:r>
      <w:r>
        <w:t xml:space="preserve"> </w:t>
      </w:r>
    </w:p>
    <w:p w14:paraId="31858C90" w14:textId="77777777" w:rsidR="004144A3" w:rsidRDefault="00430871" w:rsidP="00430871">
      <w:pPr>
        <w:numPr>
          <w:ilvl w:val="0"/>
          <w:numId w:val="12"/>
        </w:numPr>
        <w:ind w:hanging="360"/>
      </w:pPr>
      <w:r>
        <w:t>The process for assessment of evidence against the qualification and / or unit</w:t>
      </w:r>
      <w:r w:rsidR="004144A3">
        <w:t>.</w:t>
      </w:r>
    </w:p>
    <w:p w14:paraId="7BF46A13" w14:textId="77777777" w:rsidR="004144A3" w:rsidRDefault="00430871" w:rsidP="004144A3">
      <w:pPr>
        <w:numPr>
          <w:ilvl w:val="0"/>
          <w:numId w:val="12"/>
        </w:numPr>
        <w:ind w:hanging="360"/>
      </w:pPr>
      <w:r>
        <w:t>The process for advising the learner about RPL requirements.</w:t>
      </w:r>
    </w:p>
    <w:p w14:paraId="4084EB38" w14:textId="77777777" w:rsidR="004144A3" w:rsidRDefault="00430871" w:rsidP="004144A3">
      <w:pPr>
        <w:numPr>
          <w:ilvl w:val="0"/>
          <w:numId w:val="12"/>
        </w:numPr>
        <w:ind w:hanging="360"/>
      </w:pPr>
      <w:r>
        <w:t>An explanation of the support available for learners in the RPL process.</w:t>
      </w:r>
    </w:p>
    <w:p w14:paraId="0C37CEDE" w14:textId="77777777" w:rsidR="004144A3" w:rsidRDefault="00430871" w:rsidP="004144A3">
      <w:pPr>
        <w:numPr>
          <w:ilvl w:val="0"/>
          <w:numId w:val="12"/>
        </w:numPr>
        <w:ind w:hanging="360"/>
      </w:pPr>
      <w:r>
        <w:t>The requirement for the learner to provide appropriate evidence to support the RPL claim.</w:t>
      </w:r>
    </w:p>
    <w:p w14:paraId="19BBB610" w14:textId="77777777" w:rsidR="004144A3" w:rsidRDefault="00430871" w:rsidP="004144A3">
      <w:pPr>
        <w:numPr>
          <w:ilvl w:val="0"/>
          <w:numId w:val="12"/>
        </w:numPr>
        <w:ind w:hanging="360"/>
      </w:pPr>
      <w:r>
        <w:t>The type of evidence the learner could present for RPL.</w:t>
      </w:r>
    </w:p>
    <w:p w14:paraId="280E116C" w14:textId="77777777" w:rsidR="004144A3" w:rsidRDefault="00430871" w:rsidP="004144A3">
      <w:pPr>
        <w:numPr>
          <w:ilvl w:val="0"/>
          <w:numId w:val="12"/>
        </w:numPr>
        <w:ind w:hanging="360"/>
      </w:pPr>
      <w:r>
        <w:t>The process for the assessor to follow when assessing and the evidence presented against the qualification and unit requirements.</w:t>
      </w:r>
    </w:p>
    <w:p w14:paraId="33C6EE07" w14:textId="42E29613" w:rsidR="00430871" w:rsidRDefault="00430871" w:rsidP="004144A3">
      <w:pPr>
        <w:numPr>
          <w:ilvl w:val="0"/>
          <w:numId w:val="12"/>
        </w:numPr>
        <w:ind w:hanging="360"/>
      </w:pPr>
      <w:r>
        <w:t xml:space="preserve">The requirement for an IQA to quality </w:t>
      </w:r>
      <w:proofErr w:type="gramStart"/>
      <w:r>
        <w:t>assure</w:t>
      </w:r>
      <w:proofErr w:type="gramEnd"/>
      <w:r>
        <w:t xml:space="preserve"> the assessor decision. </w:t>
      </w:r>
    </w:p>
    <w:p w14:paraId="71A66226" w14:textId="77777777" w:rsidR="00430871" w:rsidRDefault="00430871" w:rsidP="00430871">
      <w:pPr>
        <w:numPr>
          <w:ilvl w:val="0"/>
          <w:numId w:val="12"/>
        </w:numPr>
        <w:ind w:hanging="360"/>
      </w:pPr>
      <w:r>
        <w:t xml:space="preserve">The process for claiming of certificates from ATHE using RPL. </w:t>
      </w:r>
    </w:p>
    <w:p w14:paraId="42428BD3" w14:textId="77777777" w:rsidR="00430871" w:rsidRDefault="00430871" w:rsidP="004144A3"/>
    <w:p w14:paraId="51ADA77B" w14:textId="1769F8B1" w:rsidR="00430871" w:rsidRDefault="00430871" w:rsidP="004144A3">
      <w:pPr>
        <w:spacing w:after="0" w:line="259" w:lineRule="auto"/>
        <w:ind w:left="705" w:firstLine="0"/>
      </w:pPr>
    </w:p>
    <w:p w14:paraId="0C9C6CDF" w14:textId="72C57E86" w:rsidR="00430871" w:rsidRDefault="00430871" w:rsidP="00430871">
      <w:pPr>
        <w:pStyle w:val="Heading2"/>
        <w:ind w:left="-5"/>
      </w:pPr>
      <w:r>
        <w:t>Recruitment of Learners Policy</w:t>
      </w:r>
    </w:p>
    <w:p w14:paraId="680956E4" w14:textId="77777777" w:rsidR="00430871" w:rsidRDefault="00430871" w:rsidP="00430871">
      <w:r>
        <w:t xml:space="preserve">ATHE has listed the entry criteria for different levels of qualification in the specifications and the centre must have a policy that sets out how learners are recruited and supported to select the correct qualification for them.  </w:t>
      </w:r>
    </w:p>
    <w:p w14:paraId="4957454A" w14:textId="77777777" w:rsidR="00430871" w:rsidRDefault="00430871" w:rsidP="00430871">
      <w:pPr>
        <w:spacing w:after="19" w:line="259" w:lineRule="auto"/>
        <w:ind w:left="0" w:firstLine="0"/>
      </w:pPr>
      <w:r>
        <w:t xml:space="preserve"> </w:t>
      </w:r>
    </w:p>
    <w:p w14:paraId="340A0745" w14:textId="77777777" w:rsidR="00430871" w:rsidRDefault="00430871" w:rsidP="00430871">
      <w:r>
        <w:t xml:space="preserve">The policy should include:  </w:t>
      </w:r>
    </w:p>
    <w:p w14:paraId="7FC59E4E" w14:textId="54AE891F" w:rsidR="00430871" w:rsidRDefault="00430871" w:rsidP="00430871">
      <w:pPr>
        <w:numPr>
          <w:ilvl w:val="0"/>
          <w:numId w:val="14"/>
        </w:numPr>
        <w:ind w:hanging="360"/>
      </w:pPr>
      <w:r>
        <w:t>How learners are recruited</w:t>
      </w:r>
      <w:r w:rsidR="004144A3">
        <w:t>.</w:t>
      </w:r>
      <w:r>
        <w:t xml:space="preserve"> </w:t>
      </w:r>
    </w:p>
    <w:p w14:paraId="5B571809" w14:textId="119C1DDB" w:rsidR="00430871" w:rsidRDefault="00430871" w:rsidP="00430871">
      <w:pPr>
        <w:numPr>
          <w:ilvl w:val="0"/>
          <w:numId w:val="14"/>
        </w:numPr>
        <w:ind w:hanging="360"/>
      </w:pPr>
      <w:r>
        <w:t>How learners are provided with advice and enrolled on the appropriate qualification</w:t>
      </w:r>
      <w:r w:rsidR="004144A3">
        <w:t>.</w:t>
      </w:r>
      <w:r>
        <w:t xml:space="preserve"> </w:t>
      </w:r>
    </w:p>
    <w:p w14:paraId="3741FB4B" w14:textId="5E4E63E4" w:rsidR="00430871" w:rsidRDefault="00430871" w:rsidP="00430871">
      <w:pPr>
        <w:numPr>
          <w:ilvl w:val="0"/>
          <w:numId w:val="14"/>
        </w:numPr>
        <w:ind w:hanging="360"/>
      </w:pPr>
      <w:r>
        <w:t>How and in what format(s) learner records are stored</w:t>
      </w:r>
      <w:r w:rsidR="004144A3">
        <w:t>.</w:t>
      </w:r>
      <w:r>
        <w:t xml:space="preserve"> </w:t>
      </w:r>
    </w:p>
    <w:p w14:paraId="795246E8" w14:textId="3B9F5C51" w:rsidR="00430871" w:rsidRDefault="00430871" w:rsidP="00430871">
      <w:pPr>
        <w:numPr>
          <w:ilvl w:val="0"/>
          <w:numId w:val="14"/>
        </w:numPr>
        <w:ind w:hanging="360"/>
      </w:pPr>
      <w:r>
        <w:t xml:space="preserve">What the learner induction process includes. </w:t>
      </w:r>
    </w:p>
    <w:p w14:paraId="6BA563DE" w14:textId="5C0CE60D" w:rsidR="00430871" w:rsidRDefault="00430871" w:rsidP="00430871"/>
    <w:p w14:paraId="3936DCAF" w14:textId="77777777" w:rsidR="00F24516" w:rsidRDefault="00F24516" w:rsidP="00430871">
      <w:pPr>
        <w:pStyle w:val="Heading2"/>
        <w:ind w:left="-5"/>
      </w:pPr>
    </w:p>
    <w:p w14:paraId="1D412177" w14:textId="69DF5E70" w:rsidR="00430871" w:rsidRDefault="00430871" w:rsidP="00430871">
      <w:pPr>
        <w:pStyle w:val="Heading2"/>
        <w:ind w:left="-5"/>
      </w:pPr>
      <w:r>
        <w:t xml:space="preserve">Resubmissions Policy </w:t>
      </w:r>
    </w:p>
    <w:p w14:paraId="66AD8D7F" w14:textId="13C53EBD" w:rsidR="00430871" w:rsidRDefault="00430871" w:rsidP="00430871">
      <w:r>
        <w:t>Where</w:t>
      </w:r>
      <w:r w:rsidR="00F24516">
        <w:t xml:space="preserve"> an</w:t>
      </w:r>
      <w:r>
        <w:t xml:space="preserve"> assessor ‘fails’ or ‘refers’ learner </w:t>
      </w:r>
      <w:proofErr w:type="gramStart"/>
      <w:r>
        <w:t>work</w:t>
      </w:r>
      <w:proofErr w:type="gramEnd"/>
      <w:r>
        <w:t xml:space="preserve"> due to it not meeting the requirements of the qualification, the centre must have a policy in place to outline the number of resubmissions that will be accepted by the centre and the process that needs to be followed. </w:t>
      </w:r>
    </w:p>
    <w:p w14:paraId="2B1A34FA" w14:textId="77777777" w:rsidR="00430871" w:rsidRDefault="00430871" w:rsidP="00430871">
      <w:pPr>
        <w:spacing w:after="16" w:line="259" w:lineRule="auto"/>
        <w:ind w:left="0" w:firstLine="0"/>
      </w:pPr>
      <w:r>
        <w:t xml:space="preserve"> </w:t>
      </w:r>
    </w:p>
    <w:p w14:paraId="276F2D9E" w14:textId="77777777" w:rsidR="00430871" w:rsidRDefault="00430871" w:rsidP="00430871">
      <w:r>
        <w:t xml:space="preserve">The policy should include:  </w:t>
      </w:r>
    </w:p>
    <w:p w14:paraId="6F35D538" w14:textId="77777777" w:rsidR="00430871" w:rsidRDefault="00430871" w:rsidP="00430871">
      <w:pPr>
        <w:numPr>
          <w:ilvl w:val="0"/>
          <w:numId w:val="13"/>
        </w:numPr>
        <w:ind w:hanging="360"/>
      </w:pPr>
      <w:r>
        <w:t xml:space="preserve">The requirements for learner work to meet the unit learning outcomes at the standards described (assessment criteria). </w:t>
      </w:r>
    </w:p>
    <w:p w14:paraId="7F41C8D7" w14:textId="77777777" w:rsidR="00430871" w:rsidRDefault="00430871" w:rsidP="00430871">
      <w:pPr>
        <w:numPr>
          <w:ilvl w:val="0"/>
          <w:numId w:val="13"/>
        </w:numPr>
        <w:ind w:hanging="360"/>
      </w:pPr>
      <w:r>
        <w:t xml:space="preserve">The number of resubmissions which are permitted. </w:t>
      </w:r>
    </w:p>
    <w:p w14:paraId="19C2D7EB" w14:textId="77777777" w:rsidR="00430871" w:rsidRDefault="00430871" w:rsidP="00430871">
      <w:pPr>
        <w:numPr>
          <w:ilvl w:val="0"/>
          <w:numId w:val="13"/>
        </w:numPr>
        <w:ind w:hanging="360"/>
      </w:pPr>
      <w:r>
        <w:t xml:space="preserve">The process to be followed by the assessor when referring work back to learners, including the requirement for detailed feedback and reasons for the referral. </w:t>
      </w:r>
    </w:p>
    <w:p w14:paraId="62E216EE" w14:textId="77777777" w:rsidR="00430871" w:rsidRDefault="00430871" w:rsidP="00430871">
      <w:pPr>
        <w:numPr>
          <w:ilvl w:val="0"/>
          <w:numId w:val="13"/>
        </w:numPr>
        <w:ind w:hanging="360"/>
      </w:pPr>
      <w:r>
        <w:t xml:space="preserve">How resubmission and the number of resubmissions will be recorded and where. </w:t>
      </w:r>
    </w:p>
    <w:p w14:paraId="6DC932AB" w14:textId="77777777" w:rsidR="00F24516" w:rsidRDefault="00F24516" w:rsidP="00430871">
      <w:pPr>
        <w:rPr>
          <w:b/>
          <w:bCs/>
        </w:rPr>
      </w:pPr>
    </w:p>
    <w:p w14:paraId="6AE2FE5A" w14:textId="77777777" w:rsidR="00F24516" w:rsidRDefault="00F24516" w:rsidP="00430871">
      <w:pPr>
        <w:rPr>
          <w:b/>
          <w:bCs/>
        </w:rPr>
      </w:pPr>
    </w:p>
    <w:p w14:paraId="42B821D7" w14:textId="75AF8DE2" w:rsidR="00430871" w:rsidRDefault="00430871" w:rsidP="00430871">
      <w:pPr>
        <w:rPr>
          <w:b/>
          <w:bCs/>
        </w:rPr>
      </w:pPr>
      <w:r>
        <w:rPr>
          <w:b/>
          <w:bCs/>
        </w:rPr>
        <w:t>Safeguarding Policy</w:t>
      </w:r>
    </w:p>
    <w:p w14:paraId="2CF71D42" w14:textId="77777777" w:rsidR="00430871" w:rsidRPr="00F00872" w:rsidRDefault="00430871" w:rsidP="00430871">
      <w:pPr>
        <w:spacing w:after="19" w:line="259" w:lineRule="auto"/>
        <w:ind w:left="0" w:firstLine="0"/>
      </w:pPr>
      <w:r w:rsidRPr="00F00872">
        <w:t>All centres should have a Safeguarding policy in place, with the main aim being to ensure that no learner is at risk of abuse, harassment or of being harmed in the centre. The policy should set out the overarching principles for centre staff to familiarise themselves with regarding safeguarding responsibilities and the procedures to follow.</w:t>
      </w:r>
    </w:p>
    <w:p w14:paraId="1F2A32E3" w14:textId="77777777" w:rsidR="00430871" w:rsidRPr="00F00872" w:rsidRDefault="00430871" w:rsidP="00430871">
      <w:pPr>
        <w:spacing w:after="19" w:line="259" w:lineRule="auto"/>
        <w:ind w:left="0" w:firstLine="0"/>
      </w:pPr>
    </w:p>
    <w:p w14:paraId="30EEF400" w14:textId="77777777" w:rsidR="00430871" w:rsidRPr="00F00872" w:rsidRDefault="00430871" w:rsidP="00430871">
      <w:pPr>
        <w:spacing w:after="19" w:line="259" w:lineRule="auto"/>
        <w:ind w:left="0" w:firstLine="0"/>
      </w:pPr>
      <w:r w:rsidRPr="00F00872">
        <w:t>The policy should include:</w:t>
      </w:r>
    </w:p>
    <w:p w14:paraId="5A136D0E" w14:textId="4F4E7854" w:rsidR="00430871" w:rsidRPr="00F00872" w:rsidRDefault="004144A3" w:rsidP="00430871">
      <w:pPr>
        <w:numPr>
          <w:ilvl w:val="0"/>
          <w:numId w:val="19"/>
        </w:numPr>
        <w:spacing w:after="160" w:line="259" w:lineRule="auto"/>
        <w:contextualSpacing/>
      </w:pPr>
      <w:r>
        <w:t>K</w:t>
      </w:r>
      <w:r w:rsidR="00430871" w:rsidRPr="00F00872">
        <w:t>ey objectives of the centre</w:t>
      </w:r>
    </w:p>
    <w:p w14:paraId="364B8FBF" w14:textId="22AA284A" w:rsidR="00430871" w:rsidRPr="00F00872" w:rsidRDefault="00430871" w:rsidP="00430871">
      <w:pPr>
        <w:numPr>
          <w:ilvl w:val="1"/>
          <w:numId w:val="19"/>
        </w:numPr>
        <w:spacing w:after="160" w:line="259" w:lineRule="auto"/>
        <w:contextualSpacing/>
      </w:pPr>
      <w:r w:rsidRPr="00F00872">
        <w:t>to ensure that no learner is at risk of abuse, harassment or of being harmed in the centre</w:t>
      </w:r>
      <w:r w:rsidR="004144A3">
        <w:t>.</w:t>
      </w:r>
    </w:p>
    <w:p w14:paraId="0BD66E2D" w14:textId="6310656E" w:rsidR="00430871" w:rsidRPr="00F00872" w:rsidRDefault="00430871" w:rsidP="00430871">
      <w:pPr>
        <w:numPr>
          <w:ilvl w:val="1"/>
          <w:numId w:val="19"/>
        </w:numPr>
        <w:spacing w:after="160" w:line="259" w:lineRule="auto"/>
        <w:contextualSpacing/>
      </w:pPr>
      <w:r w:rsidRPr="00F00872">
        <w:t>to recognise and take appropriate action if a child, young person or vulnerable adult might have been abused</w:t>
      </w:r>
      <w:r w:rsidR="004144A3">
        <w:t>.</w:t>
      </w:r>
    </w:p>
    <w:p w14:paraId="3C4D7B61" w14:textId="7C2D2D31" w:rsidR="00430871" w:rsidRPr="00F00872" w:rsidRDefault="004144A3" w:rsidP="00430871">
      <w:pPr>
        <w:numPr>
          <w:ilvl w:val="1"/>
          <w:numId w:val="19"/>
        </w:numPr>
        <w:spacing w:after="160" w:line="259" w:lineRule="auto"/>
        <w:contextualSpacing/>
      </w:pPr>
      <w:r>
        <w:t>t</w:t>
      </w:r>
      <w:r w:rsidR="00430871" w:rsidRPr="00F00872">
        <w:t>o comply with all relevant laws and regulations</w:t>
      </w:r>
      <w:r>
        <w:t>.</w:t>
      </w:r>
    </w:p>
    <w:p w14:paraId="03831993" w14:textId="77777777" w:rsidR="00430871" w:rsidRPr="00F00872" w:rsidRDefault="00430871" w:rsidP="00430871">
      <w:pPr>
        <w:numPr>
          <w:ilvl w:val="0"/>
          <w:numId w:val="19"/>
        </w:numPr>
        <w:spacing w:after="160" w:line="259" w:lineRule="auto"/>
        <w:contextualSpacing/>
      </w:pPr>
      <w:r w:rsidRPr="00F00872">
        <w:t>Centre responsibilities</w:t>
      </w:r>
    </w:p>
    <w:p w14:paraId="5778CE01" w14:textId="1A8E39DF" w:rsidR="00430871" w:rsidRPr="00F00872" w:rsidRDefault="00430871" w:rsidP="00430871">
      <w:pPr>
        <w:numPr>
          <w:ilvl w:val="1"/>
          <w:numId w:val="19"/>
        </w:numPr>
        <w:spacing w:after="160" w:line="259" w:lineRule="auto"/>
        <w:contextualSpacing/>
      </w:pPr>
      <w:r w:rsidRPr="00F00872">
        <w:t>Offer training to staff to raise awareness of the different aspects of safeguarding including the avoidance of risk and the identification, response to and reporting of cases</w:t>
      </w:r>
      <w:r w:rsidR="004144A3">
        <w:t>.</w:t>
      </w:r>
    </w:p>
    <w:p w14:paraId="5083DFA5" w14:textId="097036B9" w:rsidR="00430871" w:rsidRPr="00F00872" w:rsidRDefault="00430871" w:rsidP="00430871">
      <w:pPr>
        <w:numPr>
          <w:ilvl w:val="1"/>
          <w:numId w:val="19"/>
        </w:numPr>
        <w:spacing w:after="160" w:line="259" w:lineRule="auto"/>
        <w:contextualSpacing/>
      </w:pPr>
      <w:r w:rsidRPr="00F00872">
        <w:t>Ensure the policy is readily available to all stakeholders</w:t>
      </w:r>
      <w:r w:rsidR="004144A3">
        <w:t>.</w:t>
      </w:r>
    </w:p>
    <w:p w14:paraId="6E278A44" w14:textId="77777777" w:rsidR="00430871" w:rsidRPr="00F00872" w:rsidRDefault="00430871" w:rsidP="00430871">
      <w:pPr>
        <w:ind w:left="720" w:firstLine="0"/>
      </w:pPr>
    </w:p>
    <w:p w14:paraId="7DF03DEC" w14:textId="77777777" w:rsidR="00430871" w:rsidRPr="00F00872" w:rsidRDefault="00430871" w:rsidP="00430871">
      <w:r w:rsidRPr="00F00872">
        <w:t xml:space="preserve">This policy will be very dependent on the nature of the organisation and the mode of delivery used </w:t>
      </w:r>
      <w:proofErr w:type="gramStart"/>
      <w:r w:rsidRPr="00F00872">
        <w:t>e.g.</w:t>
      </w:r>
      <w:proofErr w:type="gramEnd"/>
      <w:r w:rsidRPr="00F00872">
        <w:t xml:space="preserve"> face to face learning compared to distance learning.</w:t>
      </w:r>
    </w:p>
    <w:p w14:paraId="0484843E" w14:textId="229A87DB" w:rsidR="00430871" w:rsidRDefault="00430871" w:rsidP="00430871">
      <w:pPr>
        <w:rPr>
          <w:b/>
          <w:bCs/>
        </w:rPr>
      </w:pPr>
    </w:p>
    <w:p w14:paraId="6AD1FB96" w14:textId="77777777" w:rsidR="00430871" w:rsidRDefault="00430871" w:rsidP="00430871">
      <w:pPr>
        <w:spacing w:after="0" w:line="259" w:lineRule="auto"/>
        <w:ind w:left="705" w:firstLine="0"/>
      </w:pPr>
    </w:p>
    <w:p w14:paraId="14ADAB1F" w14:textId="240FE098" w:rsidR="00430871" w:rsidRPr="004144A3" w:rsidRDefault="00F24516" w:rsidP="00430871">
      <w:pPr>
        <w:spacing w:after="16" w:line="259" w:lineRule="auto"/>
        <w:ind w:left="0" w:firstLine="0"/>
        <w:rPr>
          <w:b/>
          <w:bCs/>
          <w:sz w:val="28"/>
          <w:szCs w:val="28"/>
        </w:rPr>
      </w:pPr>
      <w:r w:rsidRPr="004144A3">
        <w:rPr>
          <w:b/>
          <w:bCs/>
          <w:sz w:val="28"/>
          <w:szCs w:val="28"/>
        </w:rPr>
        <w:t>Other documentation</w:t>
      </w:r>
    </w:p>
    <w:p w14:paraId="31BC15FA" w14:textId="77777777" w:rsidR="00F24516" w:rsidRDefault="00F24516" w:rsidP="00430871">
      <w:pPr>
        <w:spacing w:after="16" w:line="259" w:lineRule="auto"/>
        <w:ind w:left="0" w:firstLine="0"/>
      </w:pPr>
    </w:p>
    <w:p w14:paraId="658A8107" w14:textId="77777777" w:rsidR="00430871" w:rsidRDefault="00430871" w:rsidP="00430871">
      <w:pPr>
        <w:pStyle w:val="Heading2"/>
        <w:ind w:left="-5"/>
      </w:pPr>
      <w:r>
        <w:t xml:space="preserve">Curriculum Plans and Schemes of Work </w:t>
      </w:r>
    </w:p>
    <w:p w14:paraId="0D84CF4D" w14:textId="6F3572BB" w:rsidR="00430871" w:rsidRDefault="00430871" w:rsidP="00430871">
      <w:r>
        <w:t>ATHE requires centres to have in place a curriculum plan for each qualification it plans to deliver. In addition, centres should produce detailed schemes of work for each qualification</w:t>
      </w:r>
      <w:r w:rsidR="004144A3">
        <w:t>,</w:t>
      </w:r>
      <w:r>
        <w:t xml:space="preserve"> so that it is clear what teaching and learning will take place in the identified timescales. </w:t>
      </w:r>
    </w:p>
    <w:p w14:paraId="3B1163B6" w14:textId="77777777" w:rsidR="00430871" w:rsidRDefault="00430871" w:rsidP="00430871">
      <w:pPr>
        <w:spacing w:after="16" w:line="259" w:lineRule="auto"/>
        <w:ind w:left="0" w:firstLine="0"/>
      </w:pPr>
      <w:r>
        <w:t xml:space="preserve"> </w:t>
      </w:r>
    </w:p>
    <w:p w14:paraId="252B1370" w14:textId="77777777" w:rsidR="00430871" w:rsidRDefault="00430871" w:rsidP="00430871">
      <w:r>
        <w:t xml:space="preserve">The curriculum plan will show  </w:t>
      </w:r>
    </w:p>
    <w:p w14:paraId="00956CC2" w14:textId="77777777" w:rsidR="00430871" w:rsidRDefault="00430871" w:rsidP="00430871">
      <w:pPr>
        <w:numPr>
          <w:ilvl w:val="0"/>
          <w:numId w:val="15"/>
        </w:numPr>
        <w:ind w:hanging="360"/>
      </w:pPr>
      <w:r>
        <w:t xml:space="preserve">The number of weeks the programme will be delivered over. </w:t>
      </w:r>
    </w:p>
    <w:p w14:paraId="7F7A035F" w14:textId="77777777" w:rsidR="00430871" w:rsidRDefault="00430871" w:rsidP="00430871">
      <w:pPr>
        <w:numPr>
          <w:ilvl w:val="0"/>
          <w:numId w:val="15"/>
        </w:numPr>
        <w:ind w:hanging="360"/>
      </w:pPr>
      <w:r>
        <w:t xml:space="preserve">Which units will be covered in the stated timescale. </w:t>
      </w:r>
    </w:p>
    <w:p w14:paraId="06E05CDC" w14:textId="77777777" w:rsidR="00430871" w:rsidRDefault="00430871" w:rsidP="00430871">
      <w:pPr>
        <w:numPr>
          <w:ilvl w:val="0"/>
          <w:numId w:val="15"/>
        </w:numPr>
        <w:ind w:hanging="360"/>
      </w:pPr>
      <w:r>
        <w:t xml:space="preserve">When assessment will take place. </w:t>
      </w:r>
    </w:p>
    <w:p w14:paraId="685720FC" w14:textId="77777777" w:rsidR="00430871" w:rsidRDefault="00430871" w:rsidP="00430871">
      <w:pPr>
        <w:numPr>
          <w:ilvl w:val="0"/>
          <w:numId w:val="15"/>
        </w:numPr>
        <w:ind w:hanging="360"/>
      </w:pPr>
      <w:r>
        <w:t xml:space="preserve">When Internal Quality Assurance will take place. </w:t>
      </w:r>
    </w:p>
    <w:p w14:paraId="7199652C" w14:textId="77777777" w:rsidR="00430871" w:rsidRDefault="00430871" w:rsidP="00430871">
      <w:pPr>
        <w:spacing w:after="17" w:line="259" w:lineRule="auto"/>
        <w:ind w:left="0" w:firstLine="0"/>
      </w:pPr>
      <w:r>
        <w:lastRenderedPageBreak/>
        <w:t xml:space="preserve"> </w:t>
      </w:r>
    </w:p>
    <w:p w14:paraId="24CB2BF7" w14:textId="77777777" w:rsidR="00430871" w:rsidRDefault="00430871" w:rsidP="00430871">
      <w:r>
        <w:t xml:space="preserve">This document could take the form of a table or grid. </w:t>
      </w:r>
    </w:p>
    <w:p w14:paraId="21627AA0" w14:textId="77777777" w:rsidR="00430871" w:rsidRDefault="00430871" w:rsidP="00430871"/>
    <w:p w14:paraId="5A070212" w14:textId="361B0247" w:rsidR="00430871" w:rsidRDefault="00430871" w:rsidP="00430871">
      <w:r>
        <w:t>The schemes of work are normally produced by the tutor and provide detail on how the indicative content will be covered and the learning strategies that will take place. Schemes of work will enable a replacement tutor to understand progress made</w:t>
      </w:r>
      <w:r w:rsidR="003635B9">
        <w:t>,</w:t>
      </w:r>
      <w:r>
        <w:t xml:space="preserve"> and the teaching and learning that is still required to enable the learner to complete the unit. They help to provide continuity in the teaching and learning process.</w:t>
      </w:r>
    </w:p>
    <w:p w14:paraId="1D01952F" w14:textId="453333F6" w:rsidR="00430871" w:rsidRDefault="00430871" w:rsidP="003635B9">
      <w:pPr>
        <w:spacing w:after="16" w:line="259" w:lineRule="auto"/>
        <w:ind w:left="0" w:firstLine="0"/>
      </w:pPr>
      <w:r>
        <w:t xml:space="preserve">  </w:t>
      </w:r>
    </w:p>
    <w:p w14:paraId="60C4E04C" w14:textId="77777777" w:rsidR="00430871" w:rsidRDefault="00430871" w:rsidP="00430871">
      <w:pPr>
        <w:pStyle w:val="Heading2"/>
        <w:ind w:left="-5"/>
      </w:pPr>
      <w:r>
        <w:t xml:space="preserve">Lesson Plan </w:t>
      </w:r>
    </w:p>
    <w:p w14:paraId="7BDDB499" w14:textId="0DB9AAF3" w:rsidR="00430871" w:rsidRDefault="00430871" w:rsidP="00430871">
      <w:r>
        <w:t xml:space="preserve">ATHE requires centres to have lesson plans in place for each qualification it is seeking approval to deliver and to provide an example of these for each qualification at the </w:t>
      </w:r>
      <w:r w:rsidR="003635B9">
        <w:t>CRQA review</w:t>
      </w:r>
      <w:r>
        <w:t xml:space="preserve">. </w:t>
      </w:r>
    </w:p>
    <w:p w14:paraId="03664E7E" w14:textId="77777777" w:rsidR="00430871" w:rsidRDefault="00430871" w:rsidP="00430871">
      <w:pPr>
        <w:spacing w:after="19" w:line="259" w:lineRule="auto"/>
        <w:ind w:left="0" w:firstLine="0"/>
      </w:pPr>
      <w:r>
        <w:t xml:space="preserve"> </w:t>
      </w:r>
    </w:p>
    <w:p w14:paraId="06DDE376" w14:textId="77777777" w:rsidR="00430871" w:rsidRDefault="00430871" w:rsidP="00430871">
      <w:pPr>
        <w:spacing w:after="25"/>
      </w:pPr>
      <w:r>
        <w:t xml:space="preserve">This document(s) should include:  </w:t>
      </w:r>
    </w:p>
    <w:p w14:paraId="096BD560" w14:textId="77777777" w:rsidR="00430871" w:rsidRDefault="00430871" w:rsidP="00430871">
      <w:pPr>
        <w:numPr>
          <w:ilvl w:val="0"/>
          <w:numId w:val="16"/>
        </w:numPr>
        <w:ind w:hanging="360"/>
      </w:pPr>
      <w:r>
        <w:t xml:space="preserve">The title of the lesson. </w:t>
      </w:r>
    </w:p>
    <w:p w14:paraId="08E57D80" w14:textId="77777777" w:rsidR="00430871" w:rsidRDefault="00430871" w:rsidP="00430871">
      <w:pPr>
        <w:numPr>
          <w:ilvl w:val="0"/>
          <w:numId w:val="16"/>
        </w:numPr>
        <w:ind w:hanging="360"/>
      </w:pPr>
      <w:r>
        <w:t xml:space="preserve">The various subject areas to be taught within the session. </w:t>
      </w:r>
    </w:p>
    <w:p w14:paraId="670C3EC3" w14:textId="77777777" w:rsidR="00430871" w:rsidRDefault="00430871" w:rsidP="00430871">
      <w:pPr>
        <w:numPr>
          <w:ilvl w:val="0"/>
          <w:numId w:val="16"/>
        </w:numPr>
        <w:ind w:hanging="360"/>
      </w:pPr>
      <w:r>
        <w:t xml:space="preserve">Timings for the various activities. </w:t>
      </w:r>
    </w:p>
    <w:p w14:paraId="5BD09F92" w14:textId="77777777" w:rsidR="00430871" w:rsidRDefault="00430871" w:rsidP="00430871">
      <w:pPr>
        <w:numPr>
          <w:ilvl w:val="0"/>
          <w:numId w:val="16"/>
        </w:numPr>
        <w:ind w:hanging="360"/>
      </w:pPr>
      <w:r>
        <w:t xml:space="preserve">What form of activity will take place and when (group task / individual task / presentation etc.). </w:t>
      </w:r>
    </w:p>
    <w:p w14:paraId="6D8690FB" w14:textId="77777777" w:rsidR="00430871" w:rsidRDefault="00430871" w:rsidP="00430871">
      <w:pPr>
        <w:numPr>
          <w:ilvl w:val="0"/>
          <w:numId w:val="16"/>
        </w:numPr>
        <w:ind w:hanging="360"/>
      </w:pPr>
      <w:r>
        <w:t xml:space="preserve">Where assessment will take place, whether it is formative or summative and what form that will be in. </w:t>
      </w:r>
    </w:p>
    <w:p w14:paraId="5E74F16E" w14:textId="77777777" w:rsidR="00430871" w:rsidRDefault="00430871" w:rsidP="00430871">
      <w:pPr>
        <w:numPr>
          <w:ilvl w:val="0"/>
          <w:numId w:val="16"/>
        </w:numPr>
        <w:ind w:hanging="360"/>
      </w:pPr>
      <w:r>
        <w:t xml:space="preserve">Identification of any resources required for specified activities. </w:t>
      </w:r>
    </w:p>
    <w:p w14:paraId="475EF9BA" w14:textId="77777777" w:rsidR="00430871" w:rsidRDefault="00430871" w:rsidP="00430871">
      <w:pPr>
        <w:spacing w:after="0" w:line="259" w:lineRule="auto"/>
        <w:ind w:left="0" w:firstLine="0"/>
      </w:pPr>
      <w:r>
        <w:t xml:space="preserve"> </w:t>
      </w:r>
    </w:p>
    <w:p w14:paraId="0B17B123" w14:textId="6BF4A886" w:rsidR="00D77230" w:rsidRDefault="00D77230">
      <w:pPr>
        <w:spacing w:after="0" w:line="259" w:lineRule="auto"/>
        <w:ind w:left="0" w:firstLine="0"/>
      </w:pPr>
    </w:p>
    <w:p w14:paraId="23F215B1" w14:textId="77777777" w:rsidR="00430871" w:rsidRDefault="00430871">
      <w:pPr>
        <w:spacing w:after="0" w:line="259" w:lineRule="auto"/>
        <w:ind w:left="0" w:firstLine="0"/>
      </w:pPr>
    </w:p>
    <w:p w14:paraId="06E75283" w14:textId="3D6ADA27" w:rsidR="00D77230" w:rsidRDefault="00D77230">
      <w:pPr>
        <w:spacing w:after="19" w:line="259" w:lineRule="auto"/>
        <w:ind w:left="0" w:firstLine="0"/>
      </w:pPr>
    </w:p>
    <w:p w14:paraId="27EDBFF7" w14:textId="607497AB" w:rsidR="00D77230" w:rsidRDefault="00D77230">
      <w:pPr>
        <w:spacing w:after="16" w:line="259" w:lineRule="auto"/>
        <w:ind w:left="0" w:firstLine="0"/>
      </w:pPr>
    </w:p>
    <w:p w14:paraId="577F4A09" w14:textId="29FA3FD8" w:rsidR="00D77230" w:rsidRDefault="00E80702">
      <w:pPr>
        <w:spacing w:after="0" w:line="259" w:lineRule="auto"/>
        <w:ind w:left="0" w:firstLine="0"/>
      </w:pPr>
      <w:r>
        <w:tab/>
        <w:t xml:space="preserve"> </w:t>
      </w:r>
    </w:p>
    <w:p w14:paraId="1C8542B2" w14:textId="539DB7E1" w:rsidR="00D77230" w:rsidRDefault="00D77230">
      <w:pPr>
        <w:spacing w:after="16" w:line="259" w:lineRule="auto"/>
        <w:ind w:left="60" w:firstLine="0"/>
      </w:pPr>
    </w:p>
    <w:p w14:paraId="3F5C7ABC" w14:textId="77777777" w:rsidR="00D77230" w:rsidRDefault="00E80702">
      <w:pPr>
        <w:spacing w:after="16" w:line="259" w:lineRule="auto"/>
        <w:ind w:left="0" w:firstLine="0"/>
      </w:pPr>
      <w:r>
        <w:t xml:space="preserve">  </w:t>
      </w:r>
    </w:p>
    <w:p w14:paraId="67DF2CC3" w14:textId="26F60D21" w:rsidR="00D77230" w:rsidRDefault="00E80702">
      <w:pPr>
        <w:spacing w:after="0" w:line="259" w:lineRule="auto"/>
        <w:ind w:left="0" w:firstLine="0"/>
      </w:pPr>
      <w:r>
        <w:tab/>
        <w:t xml:space="preserve"> </w:t>
      </w:r>
    </w:p>
    <w:p w14:paraId="119658EC" w14:textId="7ED1685F" w:rsidR="00D77230" w:rsidRDefault="00D77230">
      <w:pPr>
        <w:spacing w:after="16" w:line="259" w:lineRule="auto"/>
        <w:ind w:left="0" w:firstLine="0"/>
      </w:pPr>
    </w:p>
    <w:p w14:paraId="69176E43" w14:textId="232AD645" w:rsidR="00D77230" w:rsidRDefault="00D77230">
      <w:pPr>
        <w:spacing w:after="16" w:line="259" w:lineRule="auto"/>
        <w:ind w:left="0" w:firstLine="0"/>
      </w:pPr>
    </w:p>
    <w:p w14:paraId="3E99B858" w14:textId="27949997" w:rsidR="00D77230" w:rsidRDefault="00D77230">
      <w:pPr>
        <w:spacing w:after="0" w:line="259" w:lineRule="auto"/>
        <w:ind w:left="0" w:firstLine="0"/>
      </w:pPr>
    </w:p>
    <w:p w14:paraId="2A41E70E" w14:textId="77777777" w:rsidR="00D77230" w:rsidRDefault="00E80702">
      <w:pPr>
        <w:spacing w:after="16" w:line="259" w:lineRule="auto"/>
        <w:ind w:left="0" w:firstLine="0"/>
      </w:pPr>
      <w:r>
        <w:rPr>
          <w:b/>
        </w:rPr>
        <w:t xml:space="preserve"> </w:t>
      </w:r>
    </w:p>
    <w:p w14:paraId="19D492B1" w14:textId="3691993F" w:rsidR="00D77230" w:rsidRDefault="00D77230">
      <w:pPr>
        <w:spacing w:after="16" w:line="259" w:lineRule="auto"/>
        <w:ind w:left="0" w:firstLine="0"/>
      </w:pPr>
    </w:p>
    <w:p w14:paraId="2B765FF6" w14:textId="220D35EC" w:rsidR="00D77230" w:rsidRDefault="00D77230">
      <w:pPr>
        <w:spacing w:after="215" w:line="259" w:lineRule="auto"/>
        <w:ind w:left="0" w:firstLine="0"/>
      </w:pPr>
    </w:p>
    <w:p w14:paraId="29D470AA" w14:textId="575D753F" w:rsidR="00D77230" w:rsidRDefault="00D77230">
      <w:pPr>
        <w:spacing w:after="215" w:line="259" w:lineRule="auto"/>
        <w:ind w:left="0" w:firstLine="0"/>
      </w:pPr>
    </w:p>
    <w:p w14:paraId="28DFEE81" w14:textId="538A7D3C" w:rsidR="00D77230" w:rsidRDefault="00D77230">
      <w:pPr>
        <w:spacing w:after="16" w:line="259" w:lineRule="auto"/>
        <w:ind w:left="0" w:firstLine="0"/>
      </w:pPr>
    </w:p>
    <w:p w14:paraId="31CD836F" w14:textId="77777777" w:rsidR="00D77230" w:rsidRDefault="00E80702">
      <w:pPr>
        <w:spacing w:after="19" w:line="259" w:lineRule="auto"/>
        <w:ind w:left="0" w:firstLine="0"/>
      </w:pPr>
      <w:r>
        <w:t xml:space="preserve"> </w:t>
      </w:r>
    </w:p>
    <w:p w14:paraId="6820ED30" w14:textId="309C39CA" w:rsidR="004B0D81" w:rsidRDefault="004B0D81" w:rsidP="004B0D81"/>
    <w:p w14:paraId="7461C65B" w14:textId="698C8050" w:rsidR="004B0D81" w:rsidRDefault="004B0D81" w:rsidP="004B0D81"/>
    <w:p w14:paraId="520F7E6F" w14:textId="1A8F74CB" w:rsidR="00D77230" w:rsidRDefault="00D77230">
      <w:pPr>
        <w:spacing w:after="0" w:line="259" w:lineRule="auto"/>
        <w:ind w:left="0" w:firstLine="0"/>
      </w:pPr>
    </w:p>
    <w:sectPr w:rsidR="00D77230">
      <w:footerReference w:type="even" r:id="rId8"/>
      <w:footerReference w:type="default" r:id="rId9"/>
      <w:footerReference w:type="first" r:id="rId10"/>
      <w:pgSz w:w="11906" w:h="16838"/>
      <w:pgMar w:top="859" w:right="1442" w:bottom="1470" w:left="1133"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B1E25" w14:textId="77777777" w:rsidR="00E160F9" w:rsidRDefault="00E160F9">
      <w:pPr>
        <w:spacing w:after="0" w:line="240" w:lineRule="auto"/>
      </w:pPr>
      <w:r>
        <w:separator/>
      </w:r>
    </w:p>
  </w:endnote>
  <w:endnote w:type="continuationSeparator" w:id="0">
    <w:p w14:paraId="37ADD5B6" w14:textId="77777777" w:rsidR="00E160F9" w:rsidRDefault="00E1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6266" w14:textId="77777777" w:rsidR="00D73CB7" w:rsidRDefault="00D73CB7">
    <w:pPr>
      <w:spacing w:after="0" w:line="259" w:lineRule="auto"/>
      <w:ind w:left="0" w:firstLine="0"/>
    </w:pPr>
    <w:r>
      <w:rPr>
        <w:sz w:val="20"/>
      </w:rPr>
      <w:t xml:space="preserve">© ATHE Ltd 2020 </w:t>
    </w:r>
  </w:p>
  <w:p w14:paraId="1ECFC6A3" w14:textId="77777777" w:rsidR="00D73CB7" w:rsidRDefault="00D73CB7">
    <w:pPr>
      <w:tabs>
        <w:tab w:val="center" w:pos="4513"/>
        <w:tab w:val="center" w:pos="8973"/>
      </w:tabs>
      <w:spacing w:after="0" w:line="259" w:lineRule="auto"/>
      <w:ind w:left="0" w:firstLine="0"/>
    </w:pPr>
    <w:r>
      <w:rPr>
        <w:sz w:val="20"/>
      </w:rPr>
      <w:t xml:space="preserve">052020 – V1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49355" w14:textId="3705795D" w:rsidR="00D73CB7" w:rsidRDefault="00D73CB7">
    <w:pPr>
      <w:spacing w:after="0" w:line="259" w:lineRule="auto"/>
      <w:ind w:left="0" w:firstLine="0"/>
    </w:pPr>
    <w:r>
      <w:rPr>
        <w:sz w:val="20"/>
      </w:rPr>
      <w:t>© ATHE Ltd 202</w:t>
    </w:r>
    <w:r w:rsidR="003635B9">
      <w:rPr>
        <w:sz w:val="20"/>
      </w:rPr>
      <w:t>3</w:t>
    </w:r>
    <w:r>
      <w:rPr>
        <w:sz w:val="20"/>
      </w:rPr>
      <w:t xml:space="preserve"> </w:t>
    </w:r>
  </w:p>
  <w:p w14:paraId="4394F853" w14:textId="08860E6B" w:rsidR="00D73CB7" w:rsidRDefault="003635B9">
    <w:pPr>
      <w:tabs>
        <w:tab w:val="center" w:pos="4513"/>
        <w:tab w:val="center" w:pos="8973"/>
      </w:tabs>
      <w:spacing w:after="0" w:line="259" w:lineRule="auto"/>
      <w:ind w:left="0" w:firstLine="0"/>
    </w:pPr>
    <w:r>
      <w:rPr>
        <w:sz w:val="20"/>
      </w:rPr>
      <w:t>23012023</w:t>
    </w:r>
    <w:r w:rsidR="00D73CB7">
      <w:rPr>
        <w:sz w:val="20"/>
      </w:rPr>
      <w:t xml:space="preserve"> – V</w:t>
    </w:r>
    <w:r>
      <w:rPr>
        <w:sz w:val="20"/>
      </w:rPr>
      <w:t>2</w:t>
    </w:r>
    <w:r w:rsidR="00D73CB7">
      <w:rPr>
        <w:sz w:val="20"/>
      </w:rPr>
      <w:t xml:space="preserve"> </w:t>
    </w:r>
    <w:r w:rsidR="00D73CB7">
      <w:rPr>
        <w:sz w:val="20"/>
      </w:rPr>
      <w:tab/>
      <w:t xml:space="preserve"> </w:t>
    </w:r>
    <w:r w:rsidR="00D73CB7">
      <w:rPr>
        <w:sz w:val="20"/>
      </w:rPr>
      <w:tab/>
    </w:r>
    <w:r w:rsidR="00D73CB7">
      <w:fldChar w:fldCharType="begin"/>
    </w:r>
    <w:r w:rsidR="00D73CB7">
      <w:instrText xml:space="preserve"> PAGE   \* MERGEFORMAT </w:instrText>
    </w:r>
    <w:r w:rsidR="00D73CB7">
      <w:fldChar w:fldCharType="separate"/>
    </w:r>
    <w:r w:rsidR="00126455" w:rsidRPr="00126455">
      <w:rPr>
        <w:noProof/>
        <w:sz w:val="20"/>
      </w:rPr>
      <w:t>1</w:t>
    </w:r>
    <w:r w:rsidR="00D73CB7">
      <w:rPr>
        <w:sz w:val="20"/>
      </w:rPr>
      <w:fldChar w:fldCharType="end"/>
    </w:r>
    <w:r w:rsidR="00D73CB7">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AD237" w14:textId="77777777" w:rsidR="00D73CB7" w:rsidRDefault="00D73CB7">
    <w:pPr>
      <w:spacing w:after="0" w:line="259" w:lineRule="auto"/>
      <w:ind w:left="0" w:firstLine="0"/>
    </w:pPr>
    <w:r>
      <w:rPr>
        <w:sz w:val="20"/>
      </w:rPr>
      <w:t xml:space="preserve">© ATHE Ltd 2020 </w:t>
    </w:r>
  </w:p>
  <w:p w14:paraId="5F7F6198" w14:textId="77777777" w:rsidR="00D73CB7" w:rsidRDefault="00D73CB7">
    <w:pPr>
      <w:tabs>
        <w:tab w:val="center" w:pos="4513"/>
        <w:tab w:val="center" w:pos="8973"/>
      </w:tabs>
      <w:spacing w:after="0" w:line="259" w:lineRule="auto"/>
      <w:ind w:left="0" w:firstLine="0"/>
    </w:pPr>
    <w:r>
      <w:rPr>
        <w:sz w:val="20"/>
      </w:rPr>
      <w:t xml:space="preserve">052020 – V1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BE4BB" w14:textId="77777777" w:rsidR="00E160F9" w:rsidRDefault="00E160F9">
      <w:pPr>
        <w:spacing w:after="0" w:line="240" w:lineRule="auto"/>
      </w:pPr>
      <w:r>
        <w:separator/>
      </w:r>
    </w:p>
  </w:footnote>
  <w:footnote w:type="continuationSeparator" w:id="0">
    <w:p w14:paraId="216A83C2" w14:textId="77777777" w:rsidR="00E160F9" w:rsidRDefault="00E16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1098"/>
    <w:multiLevelType w:val="hybridMultilevel"/>
    <w:tmpl w:val="8068A9FA"/>
    <w:lvl w:ilvl="0" w:tplc="4B24FBC8">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E25106">
      <w:start w:val="1"/>
      <w:numFmt w:val="bullet"/>
      <w:lvlText w:val="o"/>
      <w:lvlJc w:val="left"/>
      <w:pPr>
        <w:ind w:left="1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EA3B06">
      <w:start w:val="1"/>
      <w:numFmt w:val="bullet"/>
      <w:lvlText w:val="▪"/>
      <w:lvlJc w:val="left"/>
      <w:pPr>
        <w:ind w:left="2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6E9D86">
      <w:start w:val="1"/>
      <w:numFmt w:val="bullet"/>
      <w:lvlText w:val="•"/>
      <w:lvlJc w:val="left"/>
      <w:pPr>
        <w:ind w:left="3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06EC62">
      <w:start w:val="1"/>
      <w:numFmt w:val="bullet"/>
      <w:lvlText w:val="o"/>
      <w:lvlJc w:val="left"/>
      <w:pPr>
        <w:ind w:left="3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78C582">
      <w:start w:val="1"/>
      <w:numFmt w:val="bullet"/>
      <w:lvlText w:val="▪"/>
      <w:lvlJc w:val="left"/>
      <w:pPr>
        <w:ind w:left="4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BA0EC6">
      <w:start w:val="1"/>
      <w:numFmt w:val="bullet"/>
      <w:lvlText w:val="•"/>
      <w:lvlJc w:val="left"/>
      <w:pPr>
        <w:ind w:left="5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767912">
      <w:start w:val="1"/>
      <w:numFmt w:val="bullet"/>
      <w:lvlText w:val="o"/>
      <w:lvlJc w:val="left"/>
      <w:pPr>
        <w:ind w:left="5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08FD4E">
      <w:start w:val="1"/>
      <w:numFmt w:val="bullet"/>
      <w:lvlText w:val="▪"/>
      <w:lvlJc w:val="left"/>
      <w:pPr>
        <w:ind w:left="66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973869"/>
    <w:multiLevelType w:val="hybridMultilevel"/>
    <w:tmpl w:val="CA8E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283D3F"/>
    <w:multiLevelType w:val="hybridMultilevel"/>
    <w:tmpl w:val="AC2CC5FA"/>
    <w:lvl w:ilvl="0" w:tplc="8350279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A0FF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7A54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6E5B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7EA6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443A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16EE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C89D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A826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0142F9"/>
    <w:multiLevelType w:val="hybridMultilevel"/>
    <w:tmpl w:val="2B9A3072"/>
    <w:lvl w:ilvl="0" w:tplc="ED7EC0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1025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AEEF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2C8C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FA2D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0858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E461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6C6A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F870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D865B8"/>
    <w:multiLevelType w:val="hybridMultilevel"/>
    <w:tmpl w:val="0ECE7970"/>
    <w:lvl w:ilvl="0" w:tplc="5F3A9BA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7E97F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D4FB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D03E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C4E3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4A40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7AF5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B484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525B7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8F3B75"/>
    <w:multiLevelType w:val="hybridMultilevel"/>
    <w:tmpl w:val="9536A0A4"/>
    <w:lvl w:ilvl="0" w:tplc="27AA1CB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7A82DC">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23EA03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55CDA2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280B27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50EE09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C926CF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CF278F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5A84F5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82E7C1C"/>
    <w:multiLevelType w:val="hybridMultilevel"/>
    <w:tmpl w:val="01CA1720"/>
    <w:lvl w:ilvl="0" w:tplc="82BE20E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C61C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2A94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86E5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F685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F81C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3206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6ADA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F0B2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D054F2"/>
    <w:multiLevelType w:val="hybridMultilevel"/>
    <w:tmpl w:val="187EE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43763F"/>
    <w:multiLevelType w:val="hybridMultilevel"/>
    <w:tmpl w:val="2270950C"/>
    <w:lvl w:ilvl="0" w:tplc="6866A3F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5CA68A">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608CC24">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510563A">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288B62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C2CC68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660E88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764686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22C0C06">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E10324"/>
    <w:multiLevelType w:val="hybridMultilevel"/>
    <w:tmpl w:val="4DEE0FD0"/>
    <w:lvl w:ilvl="0" w:tplc="EE2A494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C609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34F3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28B3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5089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FAAD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B854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2E7D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28D6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F03AFF"/>
    <w:multiLevelType w:val="hybridMultilevel"/>
    <w:tmpl w:val="2A767F3A"/>
    <w:lvl w:ilvl="0" w:tplc="5CEE9DA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B218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24EAE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165B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90FC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42F53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526D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62D4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6095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4FE4F14"/>
    <w:multiLevelType w:val="hybridMultilevel"/>
    <w:tmpl w:val="D63C4A96"/>
    <w:lvl w:ilvl="0" w:tplc="E8DA968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2E6B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3853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967E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5A87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6004E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2623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1E8F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3CB1F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FA75D5A"/>
    <w:multiLevelType w:val="hybridMultilevel"/>
    <w:tmpl w:val="393E90D4"/>
    <w:lvl w:ilvl="0" w:tplc="8E9EDF2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3EA0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68D9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589F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F239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6C0A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965F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FC01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4481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3F4417F"/>
    <w:multiLevelType w:val="hybridMultilevel"/>
    <w:tmpl w:val="ADCE3BF0"/>
    <w:lvl w:ilvl="0" w:tplc="E4D083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A630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DCD93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F8FA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2007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9A45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585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6C36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E2B9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6AD4500"/>
    <w:multiLevelType w:val="hybridMultilevel"/>
    <w:tmpl w:val="B782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F15300"/>
    <w:multiLevelType w:val="hybridMultilevel"/>
    <w:tmpl w:val="D8A48308"/>
    <w:lvl w:ilvl="0" w:tplc="31ACFD0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D839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AAE4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C6BE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1EB7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D8C8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CEA2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6AD2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1C0C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D8B3097"/>
    <w:multiLevelType w:val="hybridMultilevel"/>
    <w:tmpl w:val="B84A8604"/>
    <w:lvl w:ilvl="0" w:tplc="ACA6D10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FCE8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C812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A675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E201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5A643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E61D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2EF5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3A13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E4B7D1F"/>
    <w:multiLevelType w:val="hybridMultilevel"/>
    <w:tmpl w:val="BE82FEB2"/>
    <w:lvl w:ilvl="0" w:tplc="9AF0851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C2D98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18E6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CC368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16A0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A4F9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0C26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228D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A474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97720D0"/>
    <w:multiLevelType w:val="hybridMultilevel"/>
    <w:tmpl w:val="1A6852AA"/>
    <w:lvl w:ilvl="0" w:tplc="DCA2BEB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04CD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943B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DE8F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6ADA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C8F8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267B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28B1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520C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98797546">
    <w:abstractNumId w:val="16"/>
  </w:num>
  <w:num w:numId="2" w16cid:durableId="728580718">
    <w:abstractNumId w:val="18"/>
  </w:num>
  <w:num w:numId="3" w16cid:durableId="2082872347">
    <w:abstractNumId w:val="8"/>
  </w:num>
  <w:num w:numId="4" w16cid:durableId="1009792608">
    <w:abstractNumId w:val="11"/>
  </w:num>
  <w:num w:numId="5" w16cid:durableId="1374191250">
    <w:abstractNumId w:val="15"/>
  </w:num>
  <w:num w:numId="6" w16cid:durableId="256717673">
    <w:abstractNumId w:val="10"/>
  </w:num>
  <w:num w:numId="7" w16cid:durableId="455565102">
    <w:abstractNumId w:val="12"/>
  </w:num>
  <w:num w:numId="8" w16cid:durableId="1412656502">
    <w:abstractNumId w:val="6"/>
  </w:num>
  <w:num w:numId="9" w16cid:durableId="587349259">
    <w:abstractNumId w:val="17"/>
  </w:num>
  <w:num w:numId="10" w16cid:durableId="526413160">
    <w:abstractNumId w:val="0"/>
  </w:num>
  <w:num w:numId="11" w16cid:durableId="1536891260">
    <w:abstractNumId w:val="4"/>
  </w:num>
  <w:num w:numId="12" w16cid:durableId="811556966">
    <w:abstractNumId w:val="5"/>
  </w:num>
  <w:num w:numId="13" w16cid:durableId="676926641">
    <w:abstractNumId w:val="13"/>
  </w:num>
  <w:num w:numId="14" w16cid:durableId="778378910">
    <w:abstractNumId w:val="2"/>
  </w:num>
  <w:num w:numId="15" w16cid:durableId="1831797489">
    <w:abstractNumId w:val="9"/>
  </w:num>
  <w:num w:numId="16" w16cid:durableId="125441253">
    <w:abstractNumId w:val="3"/>
  </w:num>
  <w:num w:numId="17" w16cid:durableId="948511107">
    <w:abstractNumId w:val="14"/>
  </w:num>
  <w:num w:numId="18" w16cid:durableId="103499517">
    <w:abstractNumId w:val="1"/>
  </w:num>
  <w:num w:numId="19" w16cid:durableId="1483038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230"/>
    <w:rsid w:val="0002256A"/>
    <w:rsid w:val="0005306C"/>
    <w:rsid w:val="000F736C"/>
    <w:rsid w:val="00126455"/>
    <w:rsid w:val="00133330"/>
    <w:rsid w:val="001B7E8E"/>
    <w:rsid w:val="001C7C8C"/>
    <w:rsid w:val="001D3457"/>
    <w:rsid w:val="00262F6B"/>
    <w:rsid w:val="002714D3"/>
    <w:rsid w:val="002752E3"/>
    <w:rsid w:val="00284146"/>
    <w:rsid w:val="002B4DBF"/>
    <w:rsid w:val="002D0945"/>
    <w:rsid w:val="00355938"/>
    <w:rsid w:val="003635B9"/>
    <w:rsid w:val="00370528"/>
    <w:rsid w:val="004144A3"/>
    <w:rsid w:val="00430871"/>
    <w:rsid w:val="00445E55"/>
    <w:rsid w:val="004641C6"/>
    <w:rsid w:val="0048616A"/>
    <w:rsid w:val="004B0D81"/>
    <w:rsid w:val="004D087A"/>
    <w:rsid w:val="004D3F88"/>
    <w:rsid w:val="004D5405"/>
    <w:rsid w:val="00523F79"/>
    <w:rsid w:val="00524F94"/>
    <w:rsid w:val="00550EBB"/>
    <w:rsid w:val="00574F81"/>
    <w:rsid w:val="005A4019"/>
    <w:rsid w:val="005A6D2D"/>
    <w:rsid w:val="005D76A3"/>
    <w:rsid w:val="005F5914"/>
    <w:rsid w:val="006A7E8E"/>
    <w:rsid w:val="006F7675"/>
    <w:rsid w:val="0081103D"/>
    <w:rsid w:val="008646B9"/>
    <w:rsid w:val="00876F79"/>
    <w:rsid w:val="008C3F4D"/>
    <w:rsid w:val="008D61F1"/>
    <w:rsid w:val="008F5FC3"/>
    <w:rsid w:val="00901A34"/>
    <w:rsid w:val="009062FD"/>
    <w:rsid w:val="00980F6C"/>
    <w:rsid w:val="00987007"/>
    <w:rsid w:val="009A20D0"/>
    <w:rsid w:val="009E7970"/>
    <w:rsid w:val="00A404ED"/>
    <w:rsid w:val="00A83407"/>
    <w:rsid w:val="00AB4681"/>
    <w:rsid w:val="00B35CE0"/>
    <w:rsid w:val="00B523E8"/>
    <w:rsid w:val="00B71CDA"/>
    <w:rsid w:val="00B835F1"/>
    <w:rsid w:val="00B85FD6"/>
    <w:rsid w:val="00BA6B8B"/>
    <w:rsid w:val="00BB1400"/>
    <w:rsid w:val="00BE2842"/>
    <w:rsid w:val="00C03AEE"/>
    <w:rsid w:val="00C0461C"/>
    <w:rsid w:val="00C34A27"/>
    <w:rsid w:val="00C806F7"/>
    <w:rsid w:val="00CE0F13"/>
    <w:rsid w:val="00D446DD"/>
    <w:rsid w:val="00D63DAA"/>
    <w:rsid w:val="00D73CB7"/>
    <w:rsid w:val="00D75B78"/>
    <w:rsid w:val="00D77230"/>
    <w:rsid w:val="00DA724C"/>
    <w:rsid w:val="00DF17FE"/>
    <w:rsid w:val="00E132DA"/>
    <w:rsid w:val="00E160F9"/>
    <w:rsid w:val="00E530EE"/>
    <w:rsid w:val="00E63171"/>
    <w:rsid w:val="00E80702"/>
    <w:rsid w:val="00E87858"/>
    <w:rsid w:val="00F00872"/>
    <w:rsid w:val="00F24516"/>
    <w:rsid w:val="00FB59EB"/>
    <w:rsid w:val="00FC67C8"/>
    <w:rsid w:val="00FC6D0D"/>
    <w:rsid w:val="00FD4E1F"/>
    <w:rsid w:val="00FF4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230A"/>
  <w15:docId w15:val="{9BE4387C-0748-48E5-8BF3-064FF73B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65"/>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9" w:line="267"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 w:type="paragraph" w:styleId="BalloonText">
    <w:name w:val="Balloon Text"/>
    <w:basedOn w:val="Normal"/>
    <w:link w:val="BalloonTextChar"/>
    <w:uiPriority w:val="99"/>
    <w:semiHidden/>
    <w:unhideWhenUsed/>
    <w:rsid w:val="00550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EBB"/>
    <w:rPr>
      <w:rFonts w:ascii="Segoe UI" w:eastAsia="Arial" w:hAnsi="Segoe UI" w:cs="Segoe UI"/>
      <w:color w:val="000000"/>
      <w:sz w:val="18"/>
      <w:szCs w:val="18"/>
    </w:rPr>
  </w:style>
  <w:style w:type="paragraph" w:styleId="Revision">
    <w:name w:val="Revision"/>
    <w:hidden/>
    <w:uiPriority w:val="99"/>
    <w:semiHidden/>
    <w:rsid w:val="009A20D0"/>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9A20D0"/>
    <w:rPr>
      <w:sz w:val="16"/>
      <w:szCs w:val="16"/>
    </w:rPr>
  </w:style>
  <w:style w:type="paragraph" w:styleId="CommentText">
    <w:name w:val="annotation text"/>
    <w:basedOn w:val="Normal"/>
    <w:link w:val="CommentTextChar"/>
    <w:uiPriority w:val="99"/>
    <w:unhideWhenUsed/>
    <w:rsid w:val="009A20D0"/>
    <w:pPr>
      <w:spacing w:line="240" w:lineRule="auto"/>
    </w:pPr>
    <w:rPr>
      <w:sz w:val="20"/>
      <w:szCs w:val="20"/>
    </w:rPr>
  </w:style>
  <w:style w:type="character" w:customStyle="1" w:styleId="CommentTextChar">
    <w:name w:val="Comment Text Char"/>
    <w:basedOn w:val="DefaultParagraphFont"/>
    <w:link w:val="CommentText"/>
    <w:uiPriority w:val="99"/>
    <w:rsid w:val="009A20D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9A20D0"/>
    <w:rPr>
      <w:b/>
      <w:bCs/>
    </w:rPr>
  </w:style>
  <w:style w:type="character" w:customStyle="1" w:styleId="CommentSubjectChar">
    <w:name w:val="Comment Subject Char"/>
    <w:basedOn w:val="CommentTextChar"/>
    <w:link w:val="CommentSubject"/>
    <w:uiPriority w:val="99"/>
    <w:semiHidden/>
    <w:rsid w:val="009A20D0"/>
    <w:rPr>
      <w:rFonts w:ascii="Arial" w:eastAsia="Arial" w:hAnsi="Arial" w:cs="Arial"/>
      <w:b/>
      <w:bCs/>
      <w:color w:val="000000"/>
      <w:sz w:val="20"/>
      <w:szCs w:val="20"/>
    </w:rPr>
  </w:style>
  <w:style w:type="paragraph" w:styleId="NormalWeb">
    <w:name w:val="Normal (Web)"/>
    <w:basedOn w:val="Normal"/>
    <w:uiPriority w:val="99"/>
    <w:semiHidden/>
    <w:unhideWhenUsed/>
    <w:rsid w:val="004B0D81"/>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524F94"/>
    <w:pPr>
      <w:ind w:left="720"/>
      <w:contextualSpacing/>
    </w:pPr>
  </w:style>
  <w:style w:type="paragraph" w:styleId="Header">
    <w:name w:val="header"/>
    <w:basedOn w:val="Normal"/>
    <w:link w:val="HeaderChar"/>
    <w:uiPriority w:val="99"/>
    <w:unhideWhenUsed/>
    <w:rsid w:val="003635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5B9"/>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187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2540</Words>
  <Characters>14479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cp:lastModifiedBy>Christine</cp:lastModifiedBy>
  <cp:revision>3</cp:revision>
  <dcterms:created xsi:type="dcterms:W3CDTF">2023-01-24T09:23:00Z</dcterms:created>
  <dcterms:modified xsi:type="dcterms:W3CDTF">2023-01-24T09:28:00Z</dcterms:modified>
</cp:coreProperties>
</file>